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1F3864"/>
          <w:sz w:val="52"/>
          <w:szCs w:val="52"/>
        </w:rPr>
        <w:t xml:space="preserve">DEMOLITION AND CONSTRUCTION</w:t>
      </w:r>
    </w:p>
    <w:p>
      <w:pPr>
        <w:spacing w:after="40" w:before="0"/>
      </w:pPr>
      <w:r>
        <w:rPr>
          <w:rFonts w:ascii="Arial" w:cs="Arial" w:eastAsia="Arial" w:hAnsi="Arial"/>
          <w:b/>
          <w:bCs/>
          <w:color w:val="1F3864"/>
          <w:sz w:val="52"/>
          <w:szCs w:val="52"/>
        </w:rPr>
        <w:t xml:space="preserve">MANAGEMENT PLAN</w:t>
      </w:r>
    </w:p>
    <w:p>
      <w:pPr>
        <w:spacing w:after="320" w:before="0"/>
      </w:pPr>
      <w:r>
        <w:rPr>
          <w:rFonts w:ascii="Arial" w:cs="Arial" w:eastAsia="Arial" w:hAnsi="Arial"/>
          <w:b/>
          <w:bCs/>
          <w:color w:val="2C5F8A"/>
          <w:sz w:val="26"/>
          <w:szCs w:val="26"/>
        </w:rPr>
        <w:t xml:space="preserve">Submitted in Discharge of Planning Condition 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Site address</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Conex House, 148 Field End Road, Eastcote, Pinner, HA5 1RJ</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Planning reference</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78364/APP/2024/2722</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Local planning authority</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London Borough of Hillingdon</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Decision date</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4 February 2025</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Applicant / Employer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Constructional Exports (London) Limited</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Development Manager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Ben Carrington</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Demolition contractor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South Kent Demolition Ltd, Barn Cottage, The Barracks, Goudhurst Road, Kent TN17 2PR</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Architect</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TBC — Design and Build contractor to be appointed</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Document status</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For Submission — Condition Discharge</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Document date</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August 2026</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Version</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1.0</w:t>
            </w:r>
          </w:p>
        </w:tc>
      </w:tr>
    </w:tbl>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  Introduction</w:t>
      </w:r>
    </w:p>
    <w:p>
      <w:pPr>
        <w:spacing w:after="100" w:before="60"/>
      </w:pPr>
      <w:r>
        <w:rPr>
          <w:rFonts w:ascii="Arial" w:cs="Arial" w:eastAsia="Arial" w:hAnsi="Arial"/>
          <w:color w:val="4A5568"/>
          <w:sz w:val="22"/>
          <w:szCs w:val="22"/>
        </w:rPr>
        <w:t xml:space="preserve">This Demolition and Construction Management Plan (DCMP) has been prepared by Ben Carrington, Development Manager, on behalf of Constructional Exports (London) Limited (the Employer) in connection with the approved planning consent for the demolition of the existing three-storey Class E office building at Conex House, 148 Field End Road, Eastcote, Pinner, HA5 1RJ, and the construction of a new four-storey, seven-unit residential scheme.</w:t>
      </w:r>
    </w:p>
    <w:p>
      <w:pPr>
        <w:spacing w:after="100" w:before="60"/>
      </w:pPr>
      <w:r>
        <w:rPr>
          <w:rFonts w:ascii="Arial" w:cs="Arial" w:eastAsia="Arial" w:hAnsi="Arial"/>
          <w:color w:val="4A5568"/>
          <w:sz w:val="22"/>
          <w:szCs w:val="22"/>
        </w:rPr>
        <w:t xml:space="preserve">This document is submitted in discharge of Planning Condition 6 of the planning permission granted by the London Borough of Hillingdon under reference 78364/APP/2024/2722, dated 4 February 2025.</w:t>
      </w:r>
    </w:p>
    <w:p>
      <w:pPr>
        <w:spacing w:after="100" w:before="60"/>
      </w:pPr>
      <w:r>
        <w:rPr>
          <w:rFonts w:ascii="Arial" w:cs="Arial" w:eastAsia="Arial" w:hAnsi="Arial"/>
          <w:color w:val="4A5568"/>
          <w:sz w:val="22"/>
          <w:szCs w:val="22"/>
        </w:rPr>
        <w:t xml:space="preserve">The plan sets out how the demolition and subsequent construction works will be managed to minimise the impact on neighbouring occupiers, the local highway network, and the surrounding environment. It should be read in conjunction with the approved planning drawings prepared by Urban Infill Ltd.</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2.  Site Description and Surroundings</w:t>
      </w:r>
    </w:p>
    <w:p>
      <w:pPr>
        <w:spacing w:after="100" w:before="60"/>
      </w:pPr>
      <w:r>
        <w:rPr>
          <w:rFonts w:ascii="Arial" w:cs="Arial" w:eastAsia="Arial" w:hAnsi="Arial"/>
          <w:color w:val="4A5568"/>
          <w:sz w:val="22"/>
          <w:szCs w:val="22"/>
        </w:rPr>
        <w:t xml:space="preserve">The application site is located on the west side of Field End Road within the Eastcote Minor Town Centre. The site currently comprises a three-storey Class E office building of approximately 409m² gross external area, with a hard-landscaped forecourt and full-width crossover onto Field End Road.</w:t>
      </w:r>
    </w:p>
    <w:p>
      <w:pPr>
        <w:spacing w:after="100" w:before="60"/>
      </w:pPr>
      <w:r>
        <w:rPr>
          <w:rFonts w:ascii="Arial" w:cs="Arial" w:eastAsia="Arial" w:hAnsi="Arial"/>
          <w:color w:val="4A5568"/>
          <w:sz w:val="22"/>
          <w:szCs w:val="22"/>
        </w:rPr>
        <w:t xml:space="preserve">The surrounding context is as follows:</w:t>
      </w:r>
    </w:p>
    <w:p>
      <w:pPr>
        <w:pStyle w:val="ListParagraph"/>
        <w:numPr>
          <w:ilvl w:val="0"/>
          <w:numId w:val="2"/>
        </w:numPr>
        <w:spacing w:after="60" w:before="40"/>
      </w:pPr>
      <w:r>
        <w:rPr>
          <w:rFonts w:ascii="Arial" w:cs="Arial" w:eastAsia="Arial" w:hAnsi="Arial"/>
          <w:color w:val="4A5568"/>
          <w:sz w:val="22"/>
          <w:szCs w:val="22"/>
        </w:rPr>
        <w:t xml:space="preserve">North (146 Field End Road) — residential flatted development in active occupation.</w:t>
      </w:r>
    </w:p>
    <w:p>
      <w:pPr>
        <w:pStyle w:val="ListParagraph"/>
        <w:numPr>
          <w:ilvl w:val="0"/>
          <w:numId w:val="2"/>
        </w:numPr>
        <w:spacing w:after="60" w:before="40"/>
      </w:pPr>
      <w:r>
        <w:rPr>
          <w:rFonts w:ascii="Arial" w:cs="Arial" w:eastAsia="Arial" w:hAnsi="Arial"/>
          <w:color w:val="4A5568"/>
          <w:sz w:val="22"/>
          <w:szCs w:val="22"/>
        </w:rPr>
        <w:t xml:space="preserve">South (150 Field End Road) — recently constructed residential flatted development in active occupation.</w:t>
      </w:r>
    </w:p>
    <w:p>
      <w:pPr>
        <w:pStyle w:val="ListParagraph"/>
        <w:numPr>
          <w:ilvl w:val="0"/>
          <w:numId w:val="2"/>
        </w:numPr>
        <w:spacing w:after="60" w:before="40"/>
      </w:pPr>
      <w:r>
        <w:rPr>
          <w:rFonts w:ascii="Arial" w:cs="Arial" w:eastAsia="Arial" w:hAnsi="Arial"/>
          <w:color w:val="4A5568"/>
          <w:sz w:val="22"/>
          <w:szCs w:val="22"/>
        </w:rPr>
        <w:t xml:space="preserve">East (Field End Road frontage) — busy town-centre high street with pedestrian footway, retail units and bus stops. Eastcote Underground Station is approximately 150m to the south.</w:t>
      </w:r>
    </w:p>
    <w:p>
      <w:pPr>
        <w:pStyle w:val="ListParagraph"/>
        <w:numPr>
          <w:ilvl w:val="0"/>
          <w:numId w:val="2"/>
        </w:numPr>
        <w:spacing w:after="60" w:before="40"/>
      </w:pPr>
      <w:r>
        <w:rPr>
          <w:rFonts w:ascii="Arial" w:cs="Arial" w:eastAsia="Arial" w:hAnsi="Arial"/>
          <w:color w:val="4A5568"/>
          <w:sz w:val="22"/>
          <w:szCs w:val="22"/>
        </w:rPr>
        <w:t xml:space="preserve">West (rear) — private rear gardens and residential properties.</w:t>
      </w:r>
    </w:p>
    <w:p>
      <w:pPr>
        <w:spacing w:after="100" w:before="60"/>
      </w:pPr>
      <w:r>
        <w:rPr>
          <w:rFonts w:ascii="Arial" w:cs="Arial" w:eastAsia="Arial" w:hAnsi="Arial"/>
          <w:color w:val="4A5568"/>
          <w:sz w:val="22"/>
          <w:szCs w:val="22"/>
        </w:rPr>
        <w:t xml:space="preserve">Given the proximity of occupied residential buildings at both 146 and 150 Field End Road, and the active commercial frontage on Field End Road, the management of noise, dust, vibration, and site access is of particular importance throughout the works.</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3.  Description of Proposed Works</w:t>
      </w:r>
    </w:p>
    <w:p>
      <w:pPr>
        <w:spacing w:after="100" w:before="280"/>
      </w:pPr>
      <w:r>
        <w:rPr>
          <w:rFonts w:ascii="Arial" w:cs="Arial" w:eastAsia="Arial" w:hAnsi="Arial"/>
          <w:b/>
          <w:bCs/>
          <w:color w:val="2C5F8A"/>
          <w:sz w:val="24"/>
          <w:szCs w:val="24"/>
        </w:rPr>
        <w:t xml:space="preserve">3.1  Phase 1 — Pre-Demolition and Enabling Works</w:t>
      </w:r>
    </w:p>
    <w:p>
      <w:pPr>
        <w:pStyle w:val="ListParagraph"/>
        <w:numPr>
          <w:ilvl w:val="0"/>
          <w:numId w:val="2"/>
        </w:numPr>
        <w:spacing w:after="60" w:before="40"/>
      </w:pPr>
      <w:r>
        <w:rPr>
          <w:rFonts w:ascii="Arial" w:cs="Arial" w:eastAsia="Arial" w:hAnsi="Arial"/>
          <w:color w:val="4A5568"/>
          <w:sz w:val="22"/>
          <w:szCs w:val="22"/>
        </w:rPr>
        <w:t xml:space="preserve">Asbestos removal: a Type R3 Refurbishment and Demolition Asbestos Survey has been carried out. All identified asbestos-containing materials will be removed by a licensed asbestos contractor prior to structural demolition commencing, in accordance with Control of Asbestos Regulations 2012 and HSE guidance.</w:t>
      </w:r>
    </w:p>
    <w:p>
      <w:pPr>
        <w:pStyle w:val="ListParagraph"/>
        <w:numPr>
          <w:ilvl w:val="0"/>
          <w:numId w:val="2"/>
        </w:numPr>
        <w:spacing w:after="60" w:before="40"/>
      </w:pPr>
      <w:r>
        <w:rPr>
          <w:rFonts w:ascii="Arial" w:cs="Arial" w:eastAsia="Arial" w:hAnsi="Arial"/>
          <w:color w:val="4A5568"/>
          <w:sz w:val="22"/>
          <w:szCs w:val="22"/>
        </w:rPr>
        <w:t xml:space="preserve">Services disconnection: all live utility services (electricity, gas, water, and telecommunications) will be formally disconnected and certified as safe by the relevant statutory undertakers prior to demolition commencing. Written confirmation of disconnection will be obtained from each undertaker.</w:t>
      </w:r>
    </w:p>
    <w:p>
      <w:pPr>
        <w:pStyle w:val="ListParagraph"/>
        <w:numPr>
          <w:ilvl w:val="0"/>
          <w:numId w:val="2"/>
        </w:numPr>
        <w:spacing w:after="60" w:before="40"/>
      </w:pPr>
      <w:r>
        <w:rPr>
          <w:rFonts w:ascii="Arial" w:cs="Arial" w:eastAsia="Arial" w:hAnsi="Arial"/>
          <w:color w:val="4A5568"/>
          <w:sz w:val="22"/>
          <w:szCs w:val="22"/>
        </w:rPr>
        <w:t xml:space="preserve">Hoarding installation: fixed timber hoarding to 2.4m height will be erected to the Field End Road frontage prior to commencement of any works. Heras-type fencing will secure all other site boundaries. Vehicle and pedestrian access gates will be installed.</w:t>
      </w:r>
    </w:p>
    <w:p>
      <w:pPr>
        <w:pStyle w:val="ListParagraph"/>
        <w:numPr>
          <w:ilvl w:val="0"/>
          <w:numId w:val="2"/>
        </w:numPr>
        <w:spacing w:after="60" w:before="40"/>
      </w:pPr>
      <w:r>
        <w:rPr>
          <w:rFonts w:ascii="Arial" w:cs="Arial" w:eastAsia="Arial" w:hAnsi="Arial"/>
          <w:color w:val="4A5568"/>
          <w:sz w:val="22"/>
          <w:szCs w:val="22"/>
        </w:rPr>
        <w:t xml:space="preserve">Temporary propping: given the structural relationship between the existing foundations of Conex House and the party wall shared with 150 Field End Road, a formal temporary propping scheme will be designed by an appointed Temporary Works Engineer in accordance with BS 5975:2019. All propping will be installed and independently verified before foundation removal commences on the south boundary.</w:t>
      </w:r>
    </w:p>
    <w:p>
      <w:pPr>
        <w:pStyle w:val="ListParagraph"/>
        <w:numPr>
          <w:ilvl w:val="0"/>
          <w:numId w:val="2"/>
        </w:numPr>
        <w:spacing w:after="60" w:before="40"/>
      </w:pPr>
      <w:r>
        <w:rPr>
          <w:rFonts w:ascii="Arial" w:cs="Arial" w:eastAsia="Arial" w:hAnsi="Arial"/>
          <w:color w:val="4A5568"/>
          <w:sz w:val="22"/>
          <w:szCs w:val="22"/>
        </w:rPr>
        <w:t xml:space="preserve">Party wall: all works notifiable under the Party Wall etc. Act 1996 will proceed only once Party Wall Awards are formally in place with the adjoining owners at 146 and 150 Field End Road.</w:t>
      </w:r>
    </w:p>
    <w:p>
      <w:pPr>
        <w:spacing w:after="60" w:before="60"/>
      </w:pPr>
      <w:r>
        <w:t xml:space="preserve"/>
      </w:r>
    </w:p>
    <w:p>
      <w:pPr>
        <w:spacing w:after="100" w:before="280"/>
      </w:pPr>
      <w:r>
        <w:rPr>
          <w:rFonts w:ascii="Arial" w:cs="Arial" w:eastAsia="Arial" w:hAnsi="Arial"/>
          <w:b/>
          <w:bCs/>
          <w:color w:val="2C5F8A"/>
          <w:sz w:val="24"/>
          <w:szCs w:val="24"/>
        </w:rPr>
        <w:t xml:space="preserve">3.2  Phase 2 — Structural Demolition</w:t>
      </w:r>
    </w:p>
    <w:p>
      <w:pPr>
        <w:pStyle w:val="ListParagraph"/>
        <w:numPr>
          <w:ilvl w:val="0"/>
          <w:numId w:val="2"/>
        </w:numPr>
        <w:spacing w:after="60" w:before="40"/>
      </w:pPr>
      <w:r>
        <w:rPr>
          <w:rFonts w:ascii="Arial" w:cs="Arial" w:eastAsia="Arial" w:hAnsi="Arial"/>
          <w:color w:val="4A5568"/>
          <w:sz w:val="22"/>
          <w:szCs w:val="22"/>
        </w:rPr>
        <w:t xml:space="preserve">Strip-out of all internal fixtures, fittings, and non-structural elements.</w:t>
      </w:r>
    </w:p>
    <w:p>
      <w:pPr>
        <w:pStyle w:val="ListParagraph"/>
        <w:numPr>
          <w:ilvl w:val="0"/>
          <w:numId w:val="2"/>
        </w:numPr>
        <w:spacing w:after="60" w:before="40"/>
      </w:pPr>
      <w:r>
        <w:rPr>
          <w:rFonts w:ascii="Arial" w:cs="Arial" w:eastAsia="Arial" w:hAnsi="Arial"/>
          <w:color w:val="4A5568"/>
          <w:sz w:val="22"/>
          <w:szCs w:val="22"/>
        </w:rPr>
        <w:t xml:space="preserve">Scaffolding with mono-flex sheeting to all three elevations for dust and debris containment.</w:t>
      </w:r>
    </w:p>
    <w:p>
      <w:pPr>
        <w:pStyle w:val="ListParagraph"/>
        <w:numPr>
          <w:ilvl w:val="0"/>
          <w:numId w:val="2"/>
        </w:numPr>
        <w:spacing w:after="60" w:before="40"/>
      </w:pPr>
      <w:r>
        <w:rPr>
          <w:rFonts w:ascii="Arial" w:cs="Arial" w:eastAsia="Arial" w:hAnsi="Arial"/>
          <w:color w:val="4A5568"/>
          <w:sz w:val="22"/>
          <w:szCs w:val="22"/>
        </w:rPr>
        <w:t xml:space="preserve">Top-down mechanical demolition of the three-storey office block using a Brokk remote-controlled demolition robot, proceeding floor by floor.</w:t>
      </w:r>
    </w:p>
    <w:p>
      <w:pPr>
        <w:pStyle w:val="ListParagraph"/>
        <w:numPr>
          <w:ilvl w:val="0"/>
          <w:numId w:val="2"/>
        </w:numPr>
        <w:spacing w:after="60" w:before="40"/>
      </w:pPr>
      <w:r>
        <w:rPr>
          <w:rFonts w:ascii="Arial" w:cs="Arial" w:eastAsia="Arial" w:hAnsi="Arial"/>
          <w:color w:val="4A5568"/>
          <w:sz w:val="22"/>
          <w:szCs w:val="22"/>
        </w:rPr>
        <w:t xml:space="preserve">Demolition along the south boundary (party wall with 150 Field End Road) to proceed in staged, propped phases as designed by the Temporary Works Engineer, to protect the structural integrity of the party wall and the adjoining building throughout.</w:t>
      </w:r>
    </w:p>
    <w:p>
      <w:pPr>
        <w:pStyle w:val="ListParagraph"/>
        <w:numPr>
          <w:ilvl w:val="0"/>
          <w:numId w:val="2"/>
        </w:numPr>
        <w:spacing w:after="60" w:before="40"/>
      </w:pPr>
      <w:r>
        <w:rPr>
          <w:rFonts w:ascii="Arial" w:cs="Arial" w:eastAsia="Arial" w:hAnsi="Arial"/>
          <w:color w:val="4A5568"/>
          <w:sz w:val="22"/>
          <w:szCs w:val="22"/>
        </w:rPr>
        <w:t xml:space="preserve">Break-out of ground-bearing slab (300mm) and foundations to 2.0m depth.</w:t>
      </w:r>
    </w:p>
    <w:p>
      <w:pPr>
        <w:pStyle w:val="ListParagraph"/>
        <w:numPr>
          <w:ilvl w:val="0"/>
          <w:numId w:val="2"/>
        </w:numPr>
        <w:spacing w:after="60" w:before="40"/>
      </w:pPr>
      <w:r>
        <w:rPr>
          <w:rFonts w:ascii="Arial" w:cs="Arial" w:eastAsia="Arial" w:hAnsi="Arial"/>
          <w:color w:val="4A5568"/>
          <w:sz w:val="22"/>
          <w:szCs w:val="22"/>
        </w:rPr>
        <w:t xml:space="preserve">Progressive scaffold dismantling as demolition proceeds downward.</w:t>
      </w:r>
    </w:p>
    <w:p>
      <w:pPr>
        <w:spacing w:after="60" w:before="60"/>
      </w:pPr>
      <w:r>
        <w:t xml:space="preserve"/>
      </w:r>
    </w:p>
    <w:p>
      <w:pPr>
        <w:spacing w:after="100" w:before="280"/>
      </w:pPr>
      <w:r>
        <w:rPr>
          <w:rFonts w:ascii="Arial" w:cs="Arial" w:eastAsia="Arial" w:hAnsi="Arial"/>
          <w:b/>
          <w:bCs/>
          <w:color w:val="2C5F8A"/>
          <w:sz w:val="24"/>
          <w:szCs w:val="24"/>
        </w:rPr>
        <w:t xml:space="preserve">3.3  Phase 3 — Site Clearance and Handover</w:t>
      </w:r>
    </w:p>
    <w:p>
      <w:pPr>
        <w:pStyle w:val="ListParagraph"/>
        <w:numPr>
          <w:ilvl w:val="0"/>
          <w:numId w:val="2"/>
        </w:numPr>
        <w:spacing w:after="60" w:before="40"/>
      </w:pPr>
      <w:r>
        <w:rPr>
          <w:rFonts w:ascii="Arial" w:cs="Arial" w:eastAsia="Arial" w:hAnsi="Arial"/>
          <w:color w:val="4A5568"/>
          <w:sz w:val="22"/>
          <w:szCs w:val="22"/>
        </w:rPr>
        <w:t xml:space="preserve">Removal of all demolition arisings from site by skip/grab lorry. All waste to be taken to licensed waste facilities.</w:t>
      </w:r>
    </w:p>
    <w:p>
      <w:pPr>
        <w:pStyle w:val="ListParagraph"/>
        <w:numPr>
          <w:ilvl w:val="0"/>
          <w:numId w:val="2"/>
        </w:numPr>
        <w:spacing w:after="60" w:before="40"/>
      </w:pPr>
      <w:r>
        <w:rPr>
          <w:rFonts w:ascii="Arial" w:cs="Arial" w:eastAsia="Arial" w:hAnsi="Arial"/>
          <w:color w:val="4A5568"/>
          <w:sz w:val="22"/>
          <w:szCs w:val="22"/>
        </w:rPr>
        <w:t xml:space="preserve">Removal of temporary propping once foundation clearance is complete on the south boundary.</w:t>
      </w:r>
    </w:p>
    <w:p>
      <w:pPr>
        <w:pStyle w:val="ListParagraph"/>
        <w:numPr>
          <w:ilvl w:val="0"/>
          <w:numId w:val="2"/>
        </w:numPr>
        <w:spacing w:after="60" w:before="40"/>
      </w:pPr>
      <w:r>
        <w:rPr>
          <w:rFonts w:ascii="Arial" w:cs="Arial" w:eastAsia="Arial" w:hAnsi="Arial"/>
          <w:color w:val="4A5568"/>
          <w:sz w:val="22"/>
          <w:szCs w:val="22"/>
        </w:rPr>
        <w:t xml:space="preserve">Site levelled to agreed formation level.</w:t>
      </w:r>
    </w:p>
    <w:p>
      <w:pPr>
        <w:pStyle w:val="ListParagraph"/>
        <w:numPr>
          <w:ilvl w:val="0"/>
          <w:numId w:val="2"/>
        </w:numPr>
        <w:spacing w:after="60" w:before="40"/>
      </w:pPr>
      <w:r>
        <w:rPr>
          <w:rFonts w:ascii="Arial" w:cs="Arial" w:eastAsia="Arial" w:hAnsi="Arial"/>
          <w:color w:val="4A5568"/>
          <w:sz w:val="22"/>
          <w:szCs w:val="22"/>
        </w:rPr>
        <w:t xml:space="preserve">Site hoarding and security maintained until main contractor mobilises.</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4.  Programme</w:t>
      </w:r>
    </w:p>
    <w:p>
      <w:pPr>
        <w:spacing w:after="100" w:before="60"/>
      </w:pPr>
      <w:r>
        <w:rPr>
          <w:rFonts w:ascii="Arial" w:cs="Arial" w:eastAsia="Arial" w:hAnsi="Arial"/>
          <w:color w:val="4A5568"/>
          <w:sz w:val="22"/>
          <w:szCs w:val="22"/>
        </w:rPr>
        <w:t xml:space="preserve">The demolition works are programmed to be completed within approximately 8 weeks from commencement on site. The following sequence is anticipated: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Weeks 1–2</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Pre-demolition enabling works: asbestos removal, services disconnections confirmed, hoarding installation, temporary propping installation</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Weeks 2–4</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Structural demolition of second and first floors (top-down), scaffolding progressively dismantled</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Weeks 4–6</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Demolition of ground floor and internal structures; staged demolition along south boundary under propping scheme</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Weeks 6–8</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Foundation break-out, site clearance, waste removal, propping removal, site levelling and handover</w:t>
            </w:r>
          </w:p>
        </w:tc>
      </w:tr>
    </w:tbl>
    <w:p>
      <w:pPr>
        <w:spacing w:after="100" w:before="60"/>
      </w:pPr>
      <w:r>
        <w:rPr>
          <w:rFonts w:ascii="Arial" w:cs="Arial" w:eastAsia="Arial" w:hAnsi="Arial"/>
          <w:color w:val="4A5568"/>
          <w:sz w:val="22"/>
          <w:szCs w:val="22"/>
        </w:rPr>
        <w:t xml:space="preserve">Demolition will not commence until all pre-demolition conditions attached to the planning consent have been formally discharged by the London Borough of Hillingdon.</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5.  Working Hours</w:t>
      </w:r>
    </w:p>
    <w:p>
      <w:pPr>
        <w:spacing w:after="100" w:before="60"/>
      </w:pPr>
      <w:r>
        <w:rPr>
          <w:rFonts w:ascii="Arial" w:cs="Arial" w:eastAsia="Arial" w:hAnsi="Arial"/>
          <w:color w:val="4A5568"/>
          <w:sz w:val="22"/>
          <w:szCs w:val="22"/>
        </w:rPr>
        <w:t xml:space="preserve">All demolition and construction works will be carried out in strict accordance with London Borough of Hillingdon's standard permitted construction hours:</w:t>
      </w:r>
    </w:p>
    <w:p>
      <w:pPr>
        <w:pStyle w:val="ListParagraph"/>
        <w:numPr>
          <w:ilvl w:val="0"/>
          <w:numId w:val="2"/>
        </w:numPr>
        <w:spacing w:after="60" w:before="40"/>
      </w:pPr>
      <w:r>
        <w:rPr>
          <w:rFonts w:ascii="Arial" w:cs="Arial" w:eastAsia="Arial" w:hAnsi="Arial"/>
          <w:color w:val="4A5568"/>
          <w:sz w:val="22"/>
          <w:szCs w:val="22"/>
        </w:rPr>
        <w:t xml:space="preserve">Monday to Friday: 08:00 to 18:00</w:t>
      </w:r>
    </w:p>
    <w:p>
      <w:pPr>
        <w:pStyle w:val="ListParagraph"/>
        <w:numPr>
          <w:ilvl w:val="0"/>
          <w:numId w:val="2"/>
        </w:numPr>
        <w:spacing w:after="60" w:before="40"/>
      </w:pPr>
      <w:r>
        <w:rPr>
          <w:rFonts w:ascii="Arial" w:cs="Arial" w:eastAsia="Arial" w:hAnsi="Arial"/>
          <w:color w:val="4A5568"/>
          <w:sz w:val="22"/>
          <w:szCs w:val="22"/>
        </w:rPr>
        <w:t xml:space="preserve">Saturday: 08:00 to 13:00</w:t>
      </w:r>
    </w:p>
    <w:p>
      <w:pPr>
        <w:pStyle w:val="ListParagraph"/>
        <w:numPr>
          <w:ilvl w:val="0"/>
          <w:numId w:val="2"/>
        </w:numPr>
        <w:spacing w:after="60" w:before="40"/>
      </w:pPr>
      <w:r>
        <w:rPr>
          <w:rFonts w:ascii="Arial" w:cs="Arial" w:eastAsia="Arial" w:hAnsi="Arial"/>
          <w:color w:val="4A5568"/>
          <w:sz w:val="22"/>
          <w:szCs w:val="22"/>
        </w:rPr>
        <w:t xml:space="preserve">Sunday and Public Holidays: no works</w:t>
      </w:r>
    </w:p>
    <w:p>
      <w:pPr>
        <w:spacing w:after="100" w:before="60"/>
      </w:pPr>
      <w:r>
        <w:rPr>
          <w:rFonts w:ascii="Arial" w:cs="Arial" w:eastAsia="Arial" w:hAnsi="Arial"/>
          <w:color w:val="4A5568"/>
          <w:sz w:val="22"/>
          <w:szCs w:val="22"/>
        </w:rPr>
        <w:t xml:space="preserve">No works will take place outside these hours without the prior written agreement of the London Borough of Hillingdon. A Section 61 consent application under the Control of Pollution Act 1974 will be submitted if any works requiring deviation from these hours are subsequently identified as necessary.</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6.  Site Access and Traffic Management</w:t>
      </w:r>
    </w:p>
    <w:p>
      <w:pPr>
        <w:spacing w:after="100" w:before="60"/>
      </w:pPr>
      <w:r>
        <w:rPr>
          <w:rFonts w:ascii="Arial" w:cs="Arial" w:eastAsia="Arial" w:hAnsi="Arial"/>
          <w:color w:val="4A5568"/>
          <w:sz w:val="22"/>
          <w:szCs w:val="22"/>
        </w:rPr>
        <w:t xml:space="preserve">All site access for vehicles, plant, and materials will be via the existing crossover to Field End Road. No alternative access points will be used.</w:t>
      </w:r>
    </w:p>
    <w:p>
      <w:pPr>
        <w:pStyle w:val="ListParagraph"/>
        <w:numPr>
          <w:ilvl w:val="0"/>
          <w:numId w:val="2"/>
        </w:numPr>
        <w:spacing w:after="60" w:before="40"/>
      </w:pPr>
      <w:r>
        <w:rPr>
          <w:rFonts w:ascii="Arial" w:cs="Arial" w:eastAsia="Arial" w:hAnsi="Arial"/>
          <w:color w:val="4A5568"/>
          <w:sz w:val="22"/>
          <w:szCs w:val="22"/>
        </w:rPr>
        <w:t xml:space="preserve">The existing crossover will be retained throughout the demolition phase to maintain site access.</w:t>
      </w:r>
    </w:p>
    <w:p>
      <w:pPr>
        <w:pStyle w:val="ListParagraph"/>
        <w:numPr>
          <w:ilvl w:val="0"/>
          <w:numId w:val="2"/>
        </w:numPr>
        <w:spacing w:after="60" w:before="40"/>
      </w:pPr>
      <w:r>
        <w:rPr>
          <w:rFonts w:ascii="Arial" w:cs="Arial" w:eastAsia="Arial" w:hAnsi="Arial"/>
          <w:color w:val="4A5568"/>
          <w:sz w:val="22"/>
          <w:szCs w:val="22"/>
        </w:rPr>
        <w:t xml:space="preserve">Delivery and waste removal vehicles will be managed to minimise congestion on Field End Road. Where possible, deliveries will be scheduled outside peak traffic hours (before 09:00 and after 16:00).</w:t>
      </w:r>
    </w:p>
    <w:p>
      <w:pPr>
        <w:pStyle w:val="ListParagraph"/>
        <w:numPr>
          <w:ilvl w:val="0"/>
          <w:numId w:val="2"/>
        </w:numPr>
        <w:spacing w:after="60" w:before="40"/>
      </w:pPr>
      <w:r>
        <w:rPr>
          <w:rFonts w:ascii="Arial" w:cs="Arial" w:eastAsia="Arial" w:hAnsi="Arial"/>
          <w:color w:val="4A5568"/>
          <w:sz w:val="22"/>
          <w:szCs w:val="22"/>
        </w:rPr>
        <w:t xml:space="preserve">No skips or plant will be positioned on the public highway. All skips will be located within the site boundary.</w:t>
      </w:r>
    </w:p>
    <w:p>
      <w:pPr>
        <w:pStyle w:val="ListParagraph"/>
        <w:numPr>
          <w:ilvl w:val="0"/>
          <w:numId w:val="2"/>
        </w:numPr>
        <w:spacing w:after="60" w:before="40"/>
      </w:pPr>
      <w:r>
        <w:rPr>
          <w:rFonts w:ascii="Arial" w:cs="Arial" w:eastAsia="Arial" w:hAnsi="Arial"/>
          <w:color w:val="4A5568"/>
          <w:sz w:val="22"/>
          <w:szCs w:val="22"/>
        </w:rPr>
        <w:t xml:space="preserve">A banksman will be stationed at the site entrance whenever vehicles are entering or exiting the site, to manage pedestrian safety on the footway.</w:t>
      </w:r>
    </w:p>
    <w:p>
      <w:pPr>
        <w:pStyle w:val="ListParagraph"/>
        <w:numPr>
          <w:ilvl w:val="0"/>
          <w:numId w:val="2"/>
        </w:numPr>
        <w:spacing w:after="60" w:before="40"/>
      </w:pPr>
      <w:r>
        <w:rPr>
          <w:rFonts w:ascii="Arial" w:cs="Arial" w:eastAsia="Arial" w:hAnsi="Arial"/>
          <w:color w:val="4A5568"/>
          <w:sz w:val="22"/>
          <w:szCs w:val="22"/>
        </w:rPr>
        <w:t xml:space="preserve">The public footway on Field End Road will remain open and unobstructed at all times throughout the works.</w:t>
      </w:r>
    </w:p>
    <w:p>
      <w:pPr>
        <w:pStyle w:val="ListParagraph"/>
        <w:numPr>
          <w:ilvl w:val="0"/>
          <w:numId w:val="2"/>
        </w:numPr>
        <w:spacing w:after="60" w:before="40"/>
      </w:pPr>
      <w:r>
        <w:rPr>
          <w:rFonts w:ascii="Arial" w:cs="Arial" w:eastAsia="Arial" w:hAnsi="Arial"/>
          <w:color w:val="4A5568"/>
          <w:sz w:val="22"/>
          <w:szCs w:val="22"/>
        </w:rPr>
        <w:t xml:space="preserve">No crane, pavement closure, or temporary traffic management orders are anticipated to be required.</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7.  Hoarding and Site Security</w:t>
      </w:r>
    </w:p>
    <w:p>
      <w:pPr>
        <w:pStyle w:val="ListParagraph"/>
        <w:numPr>
          <w:ilvl w:val="0"/>
          <w:numId w:val="2"/>
        </w:numPr>
        <w:spacing w:after="60" w:before="40"/>
      </w:pPr>
      <w:r>
        <w:rPr>
          <w:rFonts w:ascii="Arial" w:cs="Arial" w:eastAsia="Arial" w:hAnsi="Arial"/>
          <w:color w:val="4A5568"/>
          <w:sz w:val="22"/>
          <w:szCs w:val="22"/>
        </w:rPr>
        <w:t xml:space="preserve">Fixed 2.4m timber hoarding will be erected to the full Field End Road frontage prior to commencement of any demolition works. The hoarding will be painted and maintained in good condition throughout the works.</w:t>
      </w:r>
    </w:p>
    <w:p>
      <w:pPr>
        <w:pStyle w:val="ListParagraph"/>
        <w:numPr>
          <w:ilvl w:val="0"/>
          <w:numId w:val="2"/>
        </w:numPr>
        <w:spacing w:after="60" w:before="40"/>
      </w:pPr>
      <w:r>
        <w:rPr>
          <w:rFonts w:ascii="Arial" w:cs="Arial" w:eastAsia="Arial" w:hAnsi="Arial"/>
          <w:color w:val="4A5568"/>
          <w:sz w:val="22"/>
          <w:szCs w:val="22"/>
        </w:rPr>
        <w:t xml:space="preserve">Two sets of 6.0m wide metal mesh vehicle gates and one pedestrian gate will be installed within the hoarding line.</w:t>
      </w:r>
    </w:p>
    <w:p>
      <w:pPr>
        <w:pStyle w:val="ListParagraph"/>
        <w:numPr>
          <w:ilvl w:val="0"/>
          <w:numId w:val="2"/>
        </w:numPr>
        <w:spacing w:after="60" w:before="40"/>
      </w:pPr>
      <w:r>
        <w:rPr>
          <w:rFonts w:ascii="Arial" w:cs="Arial" w:eastAsia="Arial" w:hAnsi="Arial"/>
          <w:color w:val="4A5568"/>
          <w:sz w:val="22"/>
          <w:szCs w:val="22"/>
        </w:rPr>
        <w:t xml:space="preserve">Heras-type security fencing will secure all other site boundaries.</w:t>
      </w:r>
    </w:p>
    <w:p>
      <w:pPr>
        <w:pStyle w:val="ListParagraph"/>
        <w:numPr>
          <w:ilvl w:val="0"/>
          <w:numId w:val="2"/>
        </w:numPr>
        <w:spacing w:after="60" w:before="40"/>
      </w:pPr>
      <w:r>
        <w:rPr>
          <w:rFonts w:ascii="Arial" w:cs="Arial" w:eastAsia="Arial" w:hAnsi="Arial"/>
          <w:color w:val="4A5568"/>
          <w:sz w:val="22"/>
          <w:szCs w:val="22"/>
        </w:rPr>
        <w:t xml:space="preserve">The site will be secured at the end of each working day. All gates will be padlocked outside working hours.</w:t>
      </w:r>
    </w:p>
    <w:p>
      <w:pPr>
        <w:pStyle w:val="ListParagraph"/>
        <w:numPr>
          <w:ilvl w:val="0"/>
          <w:numId w:val="2"/>
        </w:numPr>
        <w:spacing w:after="60" w:before="40"/>
      </w:pPr>
      <w:r>
        <w:rPr>
          <w:rFonts w:ascii="Arial" w:cs="Arial" w:eastAsia="Arial" w:hAnsi="Arial"/>
          <w:color w:val="4A5568"/>
          <w:sz w:val="22"/>
          <w:szCs w:val="22"/>
        </w:rPr>
        <w:t xml:space="preserve">Appropriate signage will be displayed on all hoarding faces, including the demolition contractor's contact details, emergency contact number, and site safety information.</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8.  Noise and Vibration</w:t>
      </w:r>
    </w:p>
    <w:p>
      <w:pPr>
        <w:spacing w:after="100" w:before="60"/>
      </w:pPr>
      <w:r>
        <w:rPr>
          <w:rFonts w:ascii="Arial" w:cs="Arial" w:eastAsia="Arial" w:hAnsi="Arial"/>
          <w:color w:val="4A5568"/>
          <w:sz w:val="22"/>
          <w:szCs w:val="22"/>
        </w:rPr>
        <w:t xml:space="preserve">Given the proximity of occupied residential buildings at 146 and 150 Field End Road, noise and vibration management is a priority throughout the demolition works.</w:t>
      </w:r>
    </w:p>
    <w:p>
      <w:pPr>
        <w:pStyle w:val="ListParagraph"/>
        <w:numPr>
          <w:ilvl w:val="0"/>
          <w:numId w:val="2"/>
        </w:numPr>
        <w:spacing w:after="60" w:before="40"/>
      </w:pPr>
      <w:r>
        <w:rPr>
          <w:rFonts w:ascii="Arial" w:cs="Arial" w:eastAsia="Arial" w:hAnsi="Arial"/>
          <w:color w:val="4A5568"/>
          <w:sz w:val="22"/>
          <w:szCs w:val="22"/>
        </w:rPr>
        <w:t xml:space="preserve">All works will be carried out within the permitted hours set out in Section 5 above.</w:t>
      </w:r>
    </w:p>
    <w:p>
      <w:pPr>
        <w:pStyle w:val="ListParagraph"/>
        <w:numPr>
          <w:ilvl w:val="0"/>
          <w:numId w:val="2"/>
        </w:numPr>
        <w:spacing w:after="60" w:before="40"/>
      </w:pPr>
      <w:r>
        <w:rPr>
          <w:rFonts w:ascii="Arial" w:cs="Arial" w:eastAsia="Arial" w:hAnsi="Arial"/>
          <w:color w:val="4A5568"/>
          <w:sz w:val="22"/>
          <w:szCs w:val="22"/>
        </w:rPr>
        <w:t xml:space="preserve">The Brokk remote-controlled demolition system will be used in preference to larger plant where practicable, to reduce noise levels during the demolition of the upper floors.</w:t>
      </w:r>
    </w:p>
    <w:p>
      <w:pPr>
        <w:pStyle w:val="ListParagraph"/>
        <w:numPr>
          <w:ilvl w:val="0"/>
          <w:numId w:val="2"/>
        </w:numPr>
        <w:spacing w:after="60" w:before="40"/>
      </w:pPr>
      <w:r>
        <w:rPr>
          <w:rFonts w:ascii="Arial" w:cs="Arial" w:eastAsia="Arial" w:hAnsi="Arial"/>
          <w:color w:val="4A5568"/>
          <w:sz w:val="22"/>
          <w:szCs w:val="22"/>
        </w:rPr>
        <w:t xml:space="preserve">Scaffolding with mono-flex sheeting to all elevations will provide noise attenuation as well as dust containment.</w:t>
      </w:r>
    </w:p>
    <w:p>
      <w:pPr>
        <w:pStyle w:val="ListParagraph"/>
        <w:numPr>
          <w:ilvl w:val="0"/>
          <w:numId w:val="2"/>
        </w:numPr>
        <w:spacing w:after="60" w:before="40"/>
      </w:pPr>
      <w:r>
        <w:rPr>
          <w:rFonts w:ascii="Arial" w:cs="Arial" w:eastAsia="Arial" w:hAnsi="Arial"/>
          <w:color w:val="4A5568"/>
          <w:sz w:val="22"/>
          <w:szCs w:val="22"/>
        </w:rPr>
        <w:t xml:space="preserve">Vibration monitoring will be installed and operated at 150 Field End Road throughout the demolition works, in accordance with BS 7385. Agreed trigger levels will be established with the party wall surveyor prior to commencement, and weekly monitoring reports will be provided to the Development Manager. Works will cease immediately and be reviewed if trigger levels are exceeded.</w:t>
      </w:r>
    </w:p>
    <w:p>
      <w:pPr>
        <w:pStyle w:val="ListParagraph"/>
        <w:numPr>
          <w:ilvl w:val="0"/>
          <w:numId w:val="2"/>
        </w:numPr>
        <w:spacing w:after="60" w:before="40"/>
      </w:pPr>
      <w:r>
        <w:rPr>
          <w:rFonts w:ascii="Arial" w:cs="Arial" w:eastAsia="Arial" w:hAnsi="Arial"/>
          <w:color w:val="4A5568"/>
          <w:sz w:val="22"/>
          <w:szCs w:val="22"/>
        </w:rPr>
        <w:t xml:space="preserve">The demolition contractor will maintain a noise and vibration log throughout the works, available for inspection by the local authority on request.</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9.  Dust and Air Quality</w:t>
      </w:r>
    </w:p>
    <w:p>
      <w:pPr>
        <w:pStyle w:val="ListParagraph"/>
        <w:numPr>
          <w:ilvl w:val="0"/>
          <w:numId w:val="2"/>
        </w:numPr>
        <w:spacing w:after="60" w:before="40"/>
      </w:pPr>
      <w:r>
        <w:rPr>
          <w:rFonts w:ascii="Arial" w:cs="Arial" w:eastAsia="Arial" w:hAnsi="Arial"/>
          <w:color w:val="4A5568"/>
          <w:sz w:val="22"/>
          <w:szCs w:val="22"/>
        </w:rPr>
        <w:t xml:space="preserve">Dust suppression measures will be in operation throughout the demolition works, including water suppression applied continuously during mechanical demolition activities.</w:t>
      </w:r>
    </w:p>
    <w:p>
      <w:pPr>
        <w:pStyle w:val="ListParagraph"/>
        <w:numPr>
          <w:ilvl w:val="0"/>
          <w:numId w:val="2"/>
        </w:numPr>
        <w:spacing w:after="60" w:before="40"/>
      </w:pPr>
      <w:r>
        <w:rPr>
          <w:rFonts w:ascii="Arial" w:cs="Arial" w:eastAsia="Arial" w:hAnsi="Arial"/>
          <w:color w:val="4A5568"/>
          <w:sz w:val="22"/>
          <w:szCs w:val="22"/>
        </w:rPr>
        <w:t xml:space="preserve">Mono-flex scaffold sheeting to all three external elevations will minimise dust escape to the public highway and neighbouring properties.</w:t>
      </w:r>
    </w:p>
    <w:p>
      <w:pPr>
        <w:pStyle w:val="ListParagraph"/>
        <w:numPr>
          <w:ilvl w:val="0"/>
          <w:numId w:val="2"/>
        </w:numPr>
        <w:spacing w:after="60" w:before="40"/>
      </w:pPr>
      <w:r>
        <w:rPr>
          <w:rFonts w:ascii="Arial" w:cs="Arial" w:eastAsia="Arial" w:hAnsi="Arial"/>
          <w:color w:val="4A5568"/>
          <w:sz w:val="22"/>
          <w:szCs w:val="22"/>
        </w:rPr>
        <w:t xml:space="preserve">All demolition arisings will be dampened before loading into skips to reduce airborne dust.</w:t>
      </w:r>
    </w:p>
    <w:p>
      <w:pPr>
        <w:pStyle w:val="ListParagraph"/>
        <w:numPr>
          <w:ilvl w:val="0"/>
          <w:numId w:val="2"/>
        </w:numPr>
        <w:spacing w:after="60" w:before="40"/>
      </w:pPr>
      <w:r>
        <w:rPr>
          <w:rFonts w:ascii="Arial" w:cs="Arial" w:eastAsia="Arial" w:hAnsi="Arial"/>
          <w:color w:val="4A5568"/>
          <w:sz w:val="22"/>
          <w:szCs w:val="22"/>
        </w:rPr>
        <w:t xml:space="preserve">Wheel wash or road sweeping will be used as required to prevent mud and debris being tracked onto Field End Road.</w:t>
      </w:r>
    </w:p>
    <w:p>
      <w:pPr>
        <w:pStyle w:val="ListParagraph"/>
        <w:numPr>
          <w:ilvl w:val="0"/>
          <w:numId w:val="2"/>
        </w:numPr>
        <w:spacing w:after="60" w:before="40"/>
      </w:pPr>
      <w:r>
        <w:rPr>
          <w:rFonts w:ascii="Arial" w:cs="Arial" w:eastAsia="Arial" w:hAnsi="Arial"/>
          <w:color w:val="4A5568"/>
          <w:sz w:val="22"/>
          <w:szCs w:val="22"/>
        </w:rPr>
        <w:t xml:space="preserve">The site will be watered down at the end of each working day.</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10.  Waste Management</w:t>
      </w:r>
    </w:p>
    <w:p>
      <w:pPr>
        <w:spacing w:after="100" w:before="60"/>
      </w:pPr>
      <w:r>
        <w:rPr>
          <w:rFonts w:ascii="Arial" w:cs="Arial" w:eastAsia="Arial" w:hAnsi="Arial"/>
          <w:color w:val="4A5568"/>
          <w:sz w:val="22"/>
          <w:szCs w:val="22"/>
        </w:rPr>
        <w:t xml:space="preserve">All demolition waste will be managed in accordance with the Environmental Protection Act 1990 and the Site Waste Management Plan (SWMP) to be prepared by South Kent Demolition Ltd prior to commencement.</w:t>
      </w:r>
    </w:p>
    <w:p>
      <w:pPr>
        <w:pStyle w:val="ListParagraph"/>
        <w:numPr>
          <w:ilvl w:val="0"/>
          <w:numId w:val="2"/>
        </w:numPr>
        <w:spacing w:after="60" w:before="40"/>
      </w:pPr>
      <w:r>
        <w:rPr>
          <w:rFonts w:ascii="Arial" w:cs="Arial" w:eastAsia="Arial" w:hAnsi="Arial"/>
          <w:color w:val="4A5568"/>
          <w:sz w:val="22"/>
          <w:szCs w:val="22"/>
        </w:rPr>
        <w:t xml:space="preserve">All waste arisings will be segregated on site where practicable into concrete, brick, metal, and general waste streams to maximise recycling rates.</w:t>
      </w:r>
    </w:p>
    <w:p>
      <w:pPr>
        <w:pStyle w:val="ListParagraph"/>
        <w:numPr>
          <w:ilvl w:val="0"/>
          <w:numId w:val="2"/>
        </w:numPr>
        <w:spacing w:after="60" w:before="40"/>
      </w:pPr>
      <w:r>
        <w:rPr>
          <w:rFonts w:ascii="Arial" w:cs="Arial" w:eastAsia="Arial" w:hAnsi="Arial"/>
          <w:color w:val="4A5568"/>
          <w:sz w:val="22"/>
          <w:szCs w:val="22"/>
        </w:rPr>
        <w:t xml:space="preserve">All waste will be removed from site by licensed waste carrier to licensed waste facilities. Waste transfer notes will be maintained throughout the works.</w:t>
      </w:r>
    </w:p>
    <w:p>
      <w:pPr>
        <w:pStyle w:val="ListParagraph"/>
        <w:numPr>
          <w:ilvl w:val="0"/>
          <w:numId w:val="2"/>
        </w:numPr>
        <w:spacing w:after="60" w:before="40"/>
      </w:pPr>
      <w:r>
        <w:rPr>
          <w:rFonts w:ascii="Arial" w:cs="Arial" w:eastAsia="Arial" w:hAnsi="Arial"/>
          <w:color w:val="4A5568"/>
          <w:sz w:val="22"/>
          <w:szCs w:val="22"/>
        </w:rPr>
        <w:t xml:space="preserve">No waste will be burned on site.</w:t>
      </w:r>
    </w:p>
    <w:p>
      <w:pPr>
        <w:pStyle w:val="ListParagraph"/>
        <w:numPr>
          <w:ilvl w:val="0"/>
          <w:numId w:val="2"/>
        </w:numPr>
        <w:spacing w:after="60" w:before="40"/>
      </w:pPr>
      <w:r>
        <w:rPr>
          <w:rFonts w:ascii="Arial" w:cs="Arial" w:eastAsia="Arial" w:hAnsi="Arial"/>
          <w:color w:val="4A5568"/>
          <w:sz w:val="22"/>
          <w:szCs w:val="22"/>
        </w:rPr>
        <w:t xml:space="preserve">Asbestos waste will be removed, packaged, and disposed of by a licensed asbestos contractor in accordance with Control of Asbestos Regulations 2012, prior to structural demolition commencing.</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11.  Asbestos Management</w:t>
      </w:r>
    </w:p>
    <w:p>
      <w:pPr>
        <w:spacing w:after="100" w:before="60"/>
      </w:pPr>
      <w:r>
        <w:rPr>
          <w:rFonts w:ascii="Arial" w:cs="Arial" w:eastAsia="Arial" w:hAnsi="Arial"/>
          <w:color w:val="4A5568"/>
          <w:sz w:val="22"/>
          <w:szCs w:val="22"/>
        </w:rPr>
        <w:t xml:space="preserve">A Type R3 Refurbishment and Demolition Asbestos Survey has been carried out at the property. The survey has identified asbestos-containing materials within the building. All identified ACMs will be removed by a licensed asbestos removal contractor prior to structural demolition commencing, in accordance with the following:</w:t>
      </w:r>
    </w:p>
    <w:p>
      <w:pPr>
        <w:pStyle w:val="ListParagraph"/>
        <w:numPr>
          <w:ilvl w:val="0"/>
          <w:numId w:val="2"/>
        </w:numPr>
        <w:spacing w:after="60" w:before="40"/>
      </w:pPr>
      <w:r>
        <w:rPr>
          <w:rFonts w:ascii="Arial" w:cs="Arial" w:eastAsia="Arial" w:hAnsi="Arial"/>
          <w:color w:val="4A5568"/>
          <w:sz w:val="22"/>
          <w:szCs w:val="22"/>
        </w:rPr>
        <w:t xml:space="preserve">Control of Asbestos Regulations 2012</w:t>
      </w:r>
    </w:p>
    <w:p>
      <w:pPr>
        <w:pStyle w:val="ListParagraph"/>
        <w:numPr>
          <w:ilvl w:val="0"/>
          <w:numId w:val="2"/>
        </w:numPr>
        <w:spacing w:after="60" w:before="40"/>
      </w:pPr>
      <w:r>
        <w:rPr>
          <w:rFonts w:ascii="Arial" w:cs="Arial" w:eastAsia="Arial" w:hAnsi="Arial"/>
          <w:color w:val="4A5568"/>
          <w:sz w:val="22"/>
          <w:szCs w:val="22"/>
        </w:rPr>
        <w:t xml:space="preserve">HSE guidance document L143 (Managing and Working with Asbestos)</w:t>
      </w:r>
    </w:p>
    <w:p>
      <w:pPr>
        <w:pStyle w:val="ListParagraph"/>
        <w:numPr>
          <w:ilvl w:val="0"/>
          <w:numId w:val="2"/>
        </w:numPr>
        <w:spacing w:after="60" w:before="40"/>
      </w:pPr>
      <w:r>
        <w:rPr>
          <w:rFonts w:ascii="Arial" w:cs="Arial" w:eastAsia="Arial" w:hAnsi="Arial"/>
          <w:color w:val="4A5568"/>
          <w:sz w:val="22"/>
          <w:szCs w:val="22"/>
        </w:rPr>
        <w:t xml:space="preserve">The Control of Substances Hazardous to Health Regulations 2002 (COSHH)</w:t>
      </w:r>
    </w:p>
    <w:p>
      <w:pPr>
        <w:spacing w:after="100" w:before="60"/>
      </w:pPr>
      <w:r>
        <w:rPr>
          <w:rFonts w:ascii="Arial" w:cs="Arial" w:eastAsia="Arial" w:hAnsi="Arial"/>
          <w:color w:val="4A5568"/>
          <w:sz w:val="22"/>
          <w:szCs w:val="22"/>
        </w:rPr>
        <w:t xml:space="preserve">An asbestos clearance certificate will be obtained from the licensed contractor and made available on site prior to structural demolition commencing. A copy will be provided to the London Borough of Hillingdon Building Control on request.</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12.  Neighbouring Occupiers</w:t>
      </w:r>
    </w:p>
    <w:p>
      <w:pPr>
        <w:spacing w:after="100" w:before="60"/>
      </w:pPr>
      <w:r>
        <w:rPr>
          <w:rFonts w:ascii="Arial" w:cs="Arial" w:eastAsia="Arial" w:hAnsi="Arial"/>
          <w:color w:val="4A5568"/>
          <w:sz w:val="22"/>
          <w:szCs w:val="22"/>
        </w:rPr>
        <w:t xml:space="preserve">The Employer and demolition contractor will maintain a considerate and proactive approach to neighbouring occupiers throughout the works, in particular the residential occupiers of 146 and 150 Field End Road.</w:t>
      </w:r>
    </w:p>
    <w:p>
      <w:pPr>
        <w:pStyle w:val="ListParagraph"/>
        <w:numPr>
          <w:ilvl w:val="0"/>
          <w:numId w:val="2"/>
        </w:numPr>
        <w:spacing w:after="60" w:before="40"/>
      </w:pPr>
      <w:r>
        <w:rPr>
          <w:rFonts w:ascii="Arial" w:cs="Arial" w:eastAsia="Arial" w:hAnsi="Arial"/>
          <w:color w:val="4A5568"/>
          <w:sz w:val="22"/>
          <w:szCs w:val="22"/>
        </w:rPr>
        <w:t xml:space="preserve">A minimum of 48 hours' written notice will be given to occupiers of 146 and 150 Field End Road before any particularly noisy or disruptive activities commence, including the start of structural demolition and any propping installation works.</w:t>
      </w:r>
    </w:p>
    <w:p>
      <w:pPr>
        <w:pStyle w:val="ListParagraph"/>
        <w:numPr>
          <w:ilvl w:val="0"/>
          <w:numId w:val="2"/>
        </w:numPr>
        <w:spacing w:after="60" w:before="40"/>
      </w:pPr>
      <w:r>
        <w:rPr>
          <w:rFonts w:ascii="Arial" w:cs="Arial" w:eastAsia="Arial" w:hAnsi="Arial"/>
          <w:color w:val="4A5568"/>
          <w:sz w:val="22"/>
          <w:szCs w:val="22"/>
        </w:rPr>
        <w:t xml:space="preserve">The demolition contractor's site manager will be available as a point of contact for neighbouring occupiers throughout the works. Contact details will be displayed on the site hoarding.</w:t>
      </w:r>
    </w:p>
    <w:p>
      <w:pPr>
        <w:pStyle w:val="ListParagraph"/>
        <w:numPr>
          <w:ilvl w:val="0"/>
          <w:numId w:val="2"/>
        </w:numPr>
        <w:spacing w:after="60" w:before="40"/>
      </w:pPr>
      <w:r>
        <w:rPr>
          <w:rFonts w:ascii="Arial" w:cs="Arial" w:eastAsia="Arial" w:hAnsi="Arial"/>
          <w:color w:val="4A5568"/>
          <w:sz w:val="22"/>
          <w:szCs w:val="22"/>
        </w:rPr>
        <w:t xml:space="preserve">Any complaints from neighbouring occupiers will be recorded and responded to within one working day. A complaints log will be maintained throughout the works.</w:t>
      </w:r>
    </w:p>
    <w:p>
      <w:pPr>
        <w:pStyle w:val="ListParagraph"/>
        <w:numPr>
          <w:ilvl w:val="0"/>
          <w:numId w:val="2"/>
        </w:numPr>
        <w:spacing w:after="60" w:before="40"/>
      </w:pPr>
      <w:r>
        <w:rPr>
          <w:rFonts w:ascii="Arial" w:cs="Arial" w:eastAsia="Arial" w:hAnsi="Arial"/>
          <w:color w:val="4A5568"/>
          <w:sz w:val="22"/>
          <w:szCs w:val="22"/>
        </w:rPr>
        <w:t xml:space="preserve">Works will comply with the Considerate Constructors Scheme principles throughout.</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13.  Tree Protection</w:t>
      </w:r>
    </w:p>
    <w:p>
      <w:pPr>
        <w:spacing w:after="100" w:before="60"/>
      </w:pPr>
      <w:r>
        <w:rPr>
          <w:rFonts w:ascii="Arial" w:cs="Arial" w:eastAsia="Arial" w:hAnsi="Arial"/>
          <w:color w:val="4A5568"/>
          <w:sz w:val="22"/>
          <w:szCs w:val="22"/>
        </w:rPr>
        <w:t xml:space="preserve">An Arboricultural Impact Assessment (AIA) has been prepared by Holt Arboriculture in accordance with Planning Condition 5. All tree protection measures identified in the AIA will be implemented prior to commencement of any works, in accordance with BS 5837:2012 (Trees in Relation to Design, Demolition and Construction).</w:t>
      </w:r>
    </w:p>
    <w:p>
      <w:pPr>
        <w:spacing w:after="100" w:before="60"/>
      </w:pPr>
      <w:r>
        <w:rPr>
          <w:rFonts w:ascii="Arial" w:cs="Arial" w:eastAsia="Arial" w:hAnsi="Arial"/>
          <w:color w:val="4A5568"/>
          <w:sz w:val="22"/>
          <w:szCs w:val="22"/>
        </w:rPr>
        <w:t xml:space="preserve">No demolition plant or materials will be stored within the root protection areas of any trees identified in the AIA. Tree protection fencing will be installed and maintained in accordance with the AIA throughout the demolition works.</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14.  Health, Safety and CDM</w:t>
      </w:r>
    </w:p>
    <w:p>
      <w:pPr>
        <w:spacing w:after="100" w:before="60"/>
      </w:pPr>
      <w:r>
        <w:rPr>
          <w:rFonts w:ascii="Arial" w:cs="Arial" w:eastAsia="Arial" w:hAnsi="Arial"/>
          <w:color w:val="4A5568"/>
          <w:sz w:val="22"/>
          <w:szCs w:val="22"/>
        </w:rPr>
        <w:t xml:space="preserve">The demolition works will be carried out in full compliance with the Construction (Design and Management) Regulations 2015 (CDM 2015). The following appointments have been or will be made prior to commencement:</w:t>
      </w:r>
    </w:p>
    <w:p>
      <w:pPr>
        <w:pStyle w:val="ListParagraph"/>
        <w:numPr>
          <w:ilvl w:val="0"/>
          <w:numId w:val="2"/>
        </w:numPr>
        <w:spacing w:after="60" w:before="40"/>
      </w:pPr>
      <w:r>
        <w:rPr>
          <w:rFonts w:ascii="Arial" w:cs="Arial" w:eastAsia="Arial" w:hAnsi="Arial"/>
          <w:color w:val="4A5568"/>
          <w:sz w:val="22"/>
          <w:szCs w:val="22"/>
        </w:rPr>
        <w:t xml:space="preserve">Principal Designer: to be confirmed</w:t>
      </w:r>
    </w:p>
    <w:p>
      <w:pPr>
        <w:pStyle w:val="ListParagraph"/>
        <w:numPr>
          <w:ilvl w:val="0"/>
          <w:numId w:val="2"/>
        </w:numPr>
        <w:spacing w:after="60" w:before="40"/>
      </w:pPr>
      <w:r>
        <w:rPr>
          <w:rFonts w:ascii="Arial" w:cs="Arial" w:eastAsia="Arial" w:hAnsi="Arial"/>
          <w:color w:val="4A5568"/>
          <w:sz w:val="22"/>
          <w:szCs w:val="22"/>
        </w:rPr>
        <w:t xml:space="preserve">Principal Contractor: South Kent Demolition Ltd</w:t>
      </w:r>
    </w:p>
    <w:p>
      <w:pPr>
        <w:spacing w:after="100" w:before="60"/>
      </w:pPr>
      <w:r>
        <w:rPr>
          <w:rFonts w:ascii="Arial" w:cs="Arial" w:eastAsia="Arial" w:hAnsi="Arial"/>
          <w:color w:val="4A5568"/>
          <w:sz w:val="22"/>
          <w:szCs w:val="22"/>
        </w:rPr>
        <w:t xml:space="preserve">An F10 notification to the Health and Safety Executive will be submitted by South Kent Demolition Ltd on behalf of the Employer prior to commencement of works. A Construction Phase Plan will be prepared by South Kent Demolition Ltd and made available on site before works begin.</w:t>
      </w:r>
    </w:p>
    <w:p>
      <w:pPr>
        <w:spacing w:after="100" w:before="60"/>
      </w:pPr>
      <w:r>
        <w:rPr>
          <w:rFonts w:ascii="Arial" w:cs="Arial" w:eastAsia="Arial" w:hAnsi="Arial"/>
          <w:color w:val="4A5568"/>
          <w:sz w:val="22"/>
          <w:szCs w:val="22"/>
        </w:rPr>
        <w:t xml:space="preserve">South Kent Demolition Ltd holds appropriate public liability insurance (minimum £10,000,000), employers' liability insurance, and contract works insurance. Evidence of cover will be provided to the Employer prior to appointment.</w:t>
      </w:r>
    </w:p>
    <w:p>
      <w:pPr>
        <w:spacing w:after="60" w:before="60"/>
      </w:pPr>
      <w:r>
        <w:t xml:space="preserve"/>
      </w:r>
    </w:p>
    <w:p>
      <w:pPr>
        <w:pBdr>
          <w:bottom w:val="single" w:color="1F3864" w:sz="6" w:space="4"/>
        </w:pBdr>
        <w:spacing w:after="160" w:before="400"/>
      </w:pPr>
      <w:r>
        <w:rPr>
          <w:rFonts w:ascii="Arial" w:cs="Arial" w:eastAsia="Arial" w:hAnsi="Arial"/>
          <w:b/>
          <w:bCs/>
          <w:color w:val="1F3864"/>
          <w:sz w:val="30"/>
          <w:szCs w:val="30"/>
        </w:rPr>
        <w:t xml:space="preserve">15.  Key Contacts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Employer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Constructional Exports (London) Limited — Alp Taskent (Director)</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Development Manager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Ben Carrington — [telephone] — [email]</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Demolition Contractor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South Kent Demolition Ltd — Steve Braidford — 07702 167537</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Architect</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Urban Infill Ltd — 020 3870 7262</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Party Wall Surveyor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Tayross Chartered Building Surveyors — Carl O'Boyle / Joe</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Temporary Works Engineer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Julija, Falconwood Solutions</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LPA Planning Officer</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Mitchell Heaven — London Borough of Hillingdon</w:t>
            </w:r>
          </w:p>
        </w:tc>
      </w:tr>
      <w:tr>
        <w:tc>
          <w:tcPr>
            <w:tcW w:type="dxa" w:w="3000"/>
            <w:tcBorders>
              <w:top w:val="single" w:color="CCCCCC" w:sz="1"/>
              <w:left w:val="single" w:color="CCCCCC" w:sz="1"/>
              <w:bottom w:val="single" w:color="CCCCCC" w:sz="1"/>
              <w:right w:val="single" w:color="CCCCCC" w:sz="1"/>
            </w:tcBorders>
            <w:shd w:fill="E8EEF4" w:val="clear"/>
            <w:tcMar>
              <w:top w:type="dxa" w:w="100"/>
              <w:left w:type="dxa" w:w="160"/>
              <w:bottom w:type="dxa" w:w="100"/>
              <w:right w:type="dxa" w:w="160"/>
            </w:tcMar>
          </w:tcPr>
          <w:p>
            <w:r>
              <w:rPr>
                <w:rFonts w:ascii="Arial" w:cs="Arial" w:eastAsia="Arial" w:hAnsi="Arial"/>
                <w:b/>
                <w:bCs/>
                <w:color w:val="1F3864"/>
                <w:sz w:val="20"/>
                <w:szCs w:val="20"/>
              </w:rPr>
              <w:t xml:space="preserve">Emergency Contact (out of hours)</w:t>
            </w:r>
          </w:p>
        </w:tc>
        <w:tc>
          <w:tcPr>
            <w:tcW w:type="dxa" w:w="6026"/>
            <w:tcBorders>
              <w:top w:val="single" w:color="CCCCCC" w:sz="1"/>
              <w:left w:val="single" w:color="CCCCCC" w:sz="1"/>
              <w:bottom w:val="single" w:color="CCCCCC" w:sz="1"/>
              <w:right w:val="single" w:color="CCCCCC" w:sz="1"/>
            </w:tcBorders>
            <w:tcMar>
              <w:top w:type="dxa" w:w="100"/>
              <w:left w:type="dxa" w:w="160"/>
              <w:bottom w:type="dxa" w:w="100"/>
              <w:right w:type="dxa" w:w="160"/>
            </w:tcMar>
          </w:tcPr>
          <w:p>
            <w:r>
              <w:rPr>
                <w:rFonts w:ascii="Arial" w:cs="Arial" w:eastAsia="Arial" w:hAnsi="Arial"/>
                <w:color w:val="4A5568"/>
                <w:sz w:val="20"/>
                <w:szCs w:val="20"/>
              </w:rPr>
              <w:t xml:space="preserve">South Kent Demolition Ltd — 07702 167537</w:t>
            </w:r>
          </w:p>
        </w:tc>
      </w:tr>
    </w:tbl>
    <w:p>
      <w:pPr>
        <w:spacing w:after="60" w:before="60"/>
      </w:pPr>
      <w:r>
        <w:t xml:space="preserve"/>
      </w:r>
    </w:p>
    <w:p>
      <w:pPr>
        <w:pBdr>
          <w:top w:val="single" w:color="CCCCCC" w:sz="4" w:space="6"/>
        </w:pBdr>
        <w:spacing w:after="80" w:before="400"/>
      </w:pPr>
      <w:r>
        <w:rPr>
          <w:rFonts w:ascii="Arial" w:cs="Arial" w:eastAsia="Arial" w:hAnsi="Arial"/>
          <w:b/>
          <w:bCs/>
          <w:color w:val="1F3864"/>
          <w:sz w:val="20"/>
          <w:szCs w:val="20"/>
        </w:rPr>
        <w:t xml:space="preserve">DECLARATION</w:t>
      </w:r>
    </w:p>
    <w:p>
      <w:pPr>
        <w:spacing w:after="100" w:before="60"/>
      </w:pPr>
      <w:r>
        <w:rPr>
          <w:rFonts w:ascii="Arial" w:cs="Arial" w:eastAsia="Arial" w:hAnsi="Arial"/>
          <w:color w:val="4A5568"/>
          <w:sz w:val="22"/>
          <w:szCs w:val="22"/>
        </w:rPr>
        <w:t xml:space="preserve">This Demolition and Construction Management Plan has been prepared in good faith on the basis of information available at the time of preparation. It will be updated as necessary to reflect the appointment of outstanding consultants and any changes to the demolition programme. The Employer and demolition contractor are committed to carrying out the works in a manner that minimises disruption to neighbouring occupiers and the local community.</w:t>
      </w:r>
    </w:p>
    <w:p>
      <w:pPr>
        <w:spacing w:after="60" w:before="60"/>
      </w:pPr>
      <w:r>
        <w:t xml:space="preserve"/>
      </w:r>
    </w:p>
    <w:p>
      <w:pPr>
        <w:spacing w:after="40" w:before="80"/>
      </w:pPr>
      <w:r>
        <w:rPr>
          <w:rFonts w:ascii="Arial" w:cs="Arial" w:eastAsia="Arial" w:hAnsi="Arial"/>
          <w:b/>
          <w:bCs/>
          <w:color w:val="1F3864"/>
          <w:sz w:val="20"/>
          <w:szCs w:val="20"/>
        </w:rPr>
        <w:t xml:space="preserve">Prepared by:</w:t>
      </w:r>
    </w:p>
    <w:p>
      <w:pPr>
        <w:spacing w:after="40" w:before="40"/>
      </w:pPr>
      <w:r>
        <w:rPr>
          <w:rFonts w:ascii="Arial" w:cs="Arial" w:eastAsia="Arial" w:hAnsi="Arial"/>
          <w:color w:val="4A5568"/>
          <w:sz w:val="20"/>
          <w:szCs w:val="20"/>
        </w:rPr>
        <w:t xml:space="preserve">Ben Carrington</w:t>
      </w:r>
    </w:p>
    <w:p>
      <w:pPr>
        <w:spacing w:after="40" w:before="40"/>
      </w:pPr>
      <w:r>
        <w:rPr>
          <w:rFonts w:ascii="Arial" w:cs="Arial" w:eastAsia="Arial" w:hAnsi="Arial"/>
          <w:color w:val="4A5568"/>
          <w:sz w:val="20"/>
          <w:szCs w:val="20"/>
        </w:rPr>
        <w:t xml:space="preserve">Development Manager — Conex House</w:t>
      </w:r>
    </w:p>
    <w:p>
      <w:pPr>
        <w:spacing w:after="40" w:before="40"/>
      </w:pPr>
      <w:r>
        <w:rPr>
          <w:rFonts w:ascii="Arial" w:cs="Arial" w:eastAsia="Arial" w:hAnsi="Arial"/>
          <w:color w:val="4A5568"/>
          <w:sz w:val="20"/>
          <w:szCs w:val="20"/>
        </w:rPr>
        <w:t xml:space="preserve">On behalf of Constructional Exports (London) Limited</w:t>
      </w:r>
    </w:p>
    <w:p>
      <w:pPr>
        <w:spacing w:after="40" w:before="40"/>
      </w:pPr>
      <w:r>
        <w:rPr>
          <w:rFonts w:ascii="Arial" w:cs="Arial" w:eastAsia="Arial" w:hAnsi="Arial"/>
          <w:color w:val="4A5568"/>
          <w:sz w:val="20"/>
          <w:szCs w:val="20"/>
        </w:rPr>
        <w:t xml:space="preserve">August 2026</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4"/>
      </w:pBdr>
      <w:tabs>
        <w:tab w:val="right" w:pos="9026"/>
      </w:tabs>
      <w:spacing w:before="80"/>
    </w:pPr>
    <w:r>
      <w:rPr>
        <w:rFonts w:ascii="Arial" w:cs="Arial" w:eastAsia="Arial" w:hAnsi="Arial"/>
        <w:color w:val="4A5568"/>
        <w:sz w:val="16"/>
        <w:szCs w:val="16"/>
      </w:rPr>
      <w:t xml:space="preserve">PRIVATE &amp; CONFIDENTIAL  |  Constructional Exports (London) Limited  |  Planning Reference: 78364/APP/2024/2722</w:t>
    </w:r>
    <w:r>
      <w:rPr>
        <w:sz w:val="16"/>
        <w:szCs w:val="16"/>
      </w:rPr>
      <w:t xml:space="preserve">	</w:t>
    </w:r>
    <w:r>
      <w:rPr>
        <w:rFonts w:ascii="Arial" w:cs="Arial" w:eastAsia="Arial" w:hAnsi="Arial"/>
        <w:color w:val="4A5568"/>
        <w:sz w:val="16"/>
        <w:szCs w:val="16"/>
      </w:rPr>
      <w:t xml:space="preserve">Page </w:t>
    </w:r>
    <w:r>
      <w:rPr>
        <w:rFonts w:ascii="Arial" w:cs="Arial" w:eastAsia="Arial" w:hAnsi="Arial"/>
        <w:color w:val="4A55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C5F8A" w:sz="4" w:space="4"/>
      </w:pBdr>
      <w:tabs>
        <w:tab w:val="right" w:pos="9026"/>
      </w:tabs>
      <w:spacing w:after="120"/>
    </w:pPr>
    <w:r>
      <w:rPr>
        <w:rFonts w:ascii="Arial" w:cs="Arial" w:eastAsia="Arial" w:hAnsi="Arial"/>
        <w:b/>
        <w:bCs/>
        <w:color w:val="1F3864"/>
        <w:sz w:val="18"/>
        <w:szCs w:val="18"/>
      </w:rPr>
      <w:t xml:space="preserve">CONEX HOUSE  |  148 Field End Road, Eastcote HA5 1RJ</w:t>
    </w:r>
    <w:r>
      <w:rPr>
        <w:sz w:val="18"/>
        <w:szCs w:val="18"/>
      </w:rPr>
      <w:t xml:space="preserve">	</w:t>
    </w:r>
    <w:r>
      <w:rPr>
        <w:rFonts w:ascii="Arial" w:cs="Arial" w:eastAsia="Arial" w:hAnsi="Arial"/>
        <w:color w:val="4A5568"/>
        <w:sz w:val="18"/>
        <w:szCs w:val="18"/>
      </w:rPr>
      <w:t xml:space="preserve">Demolition &amp; Construction Management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2026-08-26T14:06:30.376Z</dcterms:created>
  <dcterms:modified xsi:type="dcterms:W3CDTF">2026-08-26T14:06:30.392Z</dcterms:modified>
</cp:coreProperties>
</file>

<file path=docProps/custom.xml><?xml version="1.0" encoding="utf-8"?>
<Properties xmlns="http://schemas.openxmlformats.org/officeDocument/2006/custom-properties" xmlns:vt="http://schemas.openxmlformats.org/officeDocument/2006/docPropsVTypes"/>
</file>