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F8F3E" w14:textId="2E02EE37" w:rsidR="002634A7" w:rsidRPr="002634A7" w:rsidRDefault="002634A7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u w:val="single"/>
        </w:rPr>
      </w:pPr>
      <w:r w:rsidRPr="002634A7">
        <w:rPr>
          <w:rFonts w:ascii="Tahoma" w:hAnsi="Tahoma" w:cs="Tahoma"/>
          <w:b/>
          <w:u w:val="single"/>
        </w:rPr>
        <w:t xml:space="preserve">Supporting Statement for outbuilding at </w:t>
      </w:r>
      <w:r w:rsidR="001C674B">
        <w:rPr>
          <w:rFonts w:ascii="Tahoma" w:hAnsi="Tahoma" w:cs="Tahoma"/>
          <w:b/>
          <w:u w:val="single"/>
        </w:rPr>
        <w:t>8 Bishops Close, Uxbridge</w:t>
      </w:r>
    </w:p>
    <w:p w14:paraId="20D6FCD7" w14:textId="77777777" w:rsidR="002634A7" w:rsidRDefault="002634A7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72AE8A3C" w14:textId="77777777" w:rsidR="00076015" w:rsidRPr="00E95154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E95154">
        <w:rPr>
          <w:rFonts w:ascii="Tahoma" w:hAnsi="Tahoma" w:cs="Tahoma"/>
        </w:rPr>
        <w:t>The application property is not listed, nor located within a designated conservation</w:t>
      </w:r>
    </w:p>
    <w:p w14:paraId="2CFA209A" w14:textId="77777777" w:rsidR="002634A7" w:rsidRPr="00E95154" w:rsidRDefault="00076015" w:rsidP="00076015">
      <w:pPr>
        <w:rPr>
          <w:rFonts w:ascii="Tahoma" w:hAnsi="Tahoma" w:cs="Tahoma"/>
        </w:rPr>
      </w:pPr>
      <w:r w:rsidRPr="00E95154">
        <w:rPr>
          <w:rFonts w:ascii="Tahoma" w:hAnsi="Tahoma" w:cs="Tahoma"/>
        </w:rPr>
        <w:t>area.</w:t>
      </w:r>
    </w:p>
    <w:p w14:paraId="12C170B7" w14:textId="4CD7AF0E" w:rsidR="002634A7" w:rsidRPr="00E95154" w:rsidRDefault="002634A7" w:rsidP="00076015">
      <w:pPr>
        <w:rPr>
          <w:rFonts w:ascii="Tahoma" w:hAnsi="Tahoma" w:cs="Tahoma"/>
        </w:rPr>
      </w:pPr>
      <w:r w:rsidRPr="00E95154">
        <w:rPr>
          <w:rFonts w:ascii="Tahoma" w:hAnsi="Tahoma" w:cs="Tahoma"/>
        </w:rPr>
        <w:t xml:space="preserve">The proposed outbuilding is for the incidental use for the occupants of </w:t>
      </w:r>
      <w:r w:rsidR="001C674B">
        <w:rPr>
          <w:rFonts w:ascii="Tahoma" w:hAnsi="Tahoma" w:cs="Tahoma"/>
        </w:rPr>
        <w:t>8 Bishops Close, Uxbridge.</w:t>
      </w:r>
    </w:p>
    <w:p w14:paraId="220DDBDF" w14:textId="77777777" w:rsidR="002634A7" w:rsidRPr="00E95154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E95154">
        <w:rPr>
          <w:rFonts w:ascii="Tahoma" w:hAnsi="Tahoma" w:cs="Tahoma"/>
        </w:rPr>
        <w:t>The proposed outbuilding would be within the bounds of objective reasonableness, when considering whether they are incidental.</w:t>
      </w:r>
    </w:p>
    <w:p w14:paraId="08B8C71E" w14:textId="77777777" w:rsidR="00E95154" w:rsidRDefault="00E95154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33BB79DB" w14:textId="77777777" w:rsidR="00076015" w:rsidRPr="00E95154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E95154">
        <w:rPr>
          <w:rFonts w:ascii="Tahoma" w:hAnsi="Tahoma" w:cs="Tahoma"/>
        </w:rPr>
        <w:t>The application proposes a single-</w:t>
      </w:r>
      <w:proofErr w:type="spellStart"/>
      <w:r w:rsidRPr="00E95154">
        <w:rPr>
          <w:rFonts w:ascii="Tahoma" w:hAnsi="Tahoma" w:cs="Tahoma"/>
        </w:rPr>
        <w:t>storey</w:t>
      </w:r>
      <w:proofErr w:type="spellEnd"/>
      <w:r w:rsidRPr="00E95154">
        <w:rPr>
          <w:rFonts w:ascii="Tahoma" w:hAnsi="Tahoma" w:cs="Tahoma"/>
        </w:rPr>
        <w:t xml:space="preserve"> outbuilding in the rear garden of the</w:t>
      </w:r>
    </w:p>
    <w:p w14:paraId="3A3E83A0" w14:textId="61B41286" w:rsidR="00076015" w:rsidRPr="00E95154" w:rsidRDefault="00076015" w:rsidP="00CF486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E95154">
        <w:rPr>
          <w:rFonts w:ascii="Tahoma" w:hAnsi="Tahoma" w:cs="Tahoma"/>
        </w:rPr>
        <w:t xml:space="preserve">main property, for use as a </w:t>
      </w:r>
      <w:r w:rsidR="001C674B">
        <w:rPr>
          <w:rFonts w:ascii="Tahoma" w:hAnsi="Tahoma" w:cs="Tahoma"/>
        </w:rPr>
        <w:t>sauna, home gym</w:t>
      </w:r>
      <w:r w:rsidR="00BA49DC">
        <w:rPr>
          <w:rFonts w:ascii="Tahoma" w:hAnsi="Tahoma" w:cs="Tahoma"/>
        </w:rPr>
        <w:t>, play room, store</w:t>
      </w:r>
      <w:r w:rsidR="001C674B">
        <w:rPr>
          <w:rFonts w:ascii="Tahoma" w:hAnsi="Tahoma" w:cs="Tahoma"/>
        </w:rPr>
        <w:t xml:space="preserve"> and shower. </w:t>
      </w:r>
    </w:p>
    <w:p w14:paraId="0B4C6C64" w14:textId="77777777" w:rsidR="00076015" w:rsidRDefault="00076015" w:rsidP="00076015">
      <w:pPr>
        <w:rPr>
          <w:rFonts w:ascii="Tahoma" w:hAnsi="Tahoma" w:cs="Tahoma"/>
        </w:rPr>
      </w:pPr>
    </w:p>
    <w:p w14:paraId="3E7B3E47" w14:textId="12AF5350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The proposed outbuilding complies with the</w:t>
      </w:r>
      <w:r w:rsidR="00823D2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requirements of Class E, Part 1, Schedule 2 of the General Permitted</w:t>
      </w:r>
      <w:r w:rsidR="00823D2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Development Order (GPDO) 2015, as follows:</w:t>
      </w:r>
    </w:p>
    <w:p w14:paraId="6B1BE7B8" w14:textId="77777777" w:rsidR="00823D20" w:rsidRDefault="00823D20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1910FF70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  <w:r>
        <w:rPr>
          <w:rFonts w:ascii="Tahoma-Bold" w:hAnsi="Tahoma-Bold" w:cs="Tahoma-Bold"/>
          <w:b/>
          <w:bCs/>
        </w:rPr>
        <w:t xml:space="preserve">E. The provision within the curtilage of the </w:t>
      </w:r>
      <w:proofErr w:type="spellStart"/>
      <w:r>
        <w:rPr>
          <w:rFonts w:ascii="Tahoma-Bold" w:hAnsi="Tahoma-Bold" w:cs="Tahoma-Bold"/>
          <w:b/>
          <w:bCs/>
        </w:rPr>
        <w:t>dwellinghouse</w:t>
      </w:r>
      <w:proofErr w:type="spellEnd"/>
      <w:r>
        <w:rPr>
          <w:rFonts w:ascii="Tahoma-Bold" w:hAnsi="Tahoma-Bold" w:cs="Tahoma-Bold"/>
          <w:b/>
          <w:bCs/>
        </w:rPr>
        <w:t xml:space="preserve"> of—</w:t>
      </w:r>
    </w:p>
    <w:p w14:paraId="3C2436C4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  <w:r>
        <w:rPr>
          <w:rFonts w:ascii="Tahoma-Bold" w:hAnsi="Tahoma-Bold" w:cs="Tahoma-Bold"/>
          <w:b/>
          <w:bCs/>
        </w:rPr>
        <w:t>(a) any building or enclosure, swimming or other pool</w:t>
      </w:r>
    </w:p>
    <w:p w14:paraId="5455D731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  <w:r>
        <w:rPr>
          <w:rFonts w:ascii="Tahoma-Bold" w:hAnsi="Tahoma-Bold" w:cs="Tahoma-Bold"/>
          <w:b/>
          <w:bCs/>
        </w:rPr>
        <w:t>required for a purpose incidental to the enjoyment of the</w:t>
      </w:r>
    </w:p>
    <w:p w14:paraId="7C2D5268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  <w:proofErr w:type="spellStart"/>
      <w:r>
        <w:rPr>
          <w:rFonts w:ascii="Tahoma-Bold" w:hAnsi="Tahoma-Bold" w:cs="Tahoma-Bold"/>
          <w:b/>
          <w:bCs/>
        </w:rPr>
        <w:t>dwellinghouse</w:t>
      </w:r>
      <w:proofErr w:type="spellEnd"/>
      <w:r>
        <w:rPr>
          <w:rFonts w:ascii="Tahoma-Bold" w:hAnsi="Tahoma-Bold" w:cs="Tahoma-Bold"/>
          <w:b/>
          <w:bCs/>
        </w:rPr>
        <w:t xml:space="preserve"> as such, or the maintenance, improvement</w:t>
      </w:r>
    </w:p>
    <w:p w14:paraId="71BF574A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  <w:r>
        <w:rPr>
          <w:rFonts w:ascii="Tahoma-Bold" w:hAnsi="Tahoma-Bold" w:cs="Tahoma-Bold"/>
          <w:b/>
          <w:bCs/>
        </w:rPr>
        <w:t>or other alteration of such a building or enclosure; or</w:t>
      </w:r>
    </w:p>
    <w:p w14:paraId="5484A74B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  <w:r>
        <w:rPr>
          <w:rFonts w:ascii="Tahoma-Bold" w:hAnsi="Tahoma-Bold" w:cs="Tahoma-Bold"/>
          <w:b/>
          <w:bCs/>
        </w:rPr>
        <w:t>(b) a container used for domestic heating purposes for the</w:t>
      </w:r>
    </w:p>
    <w:p w14:paraId="0012DA5E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  <w:r>
        <w:rPr>
          <w:rFonts w:ascii="Tahoma-Bold" w:hAnsi="Tahoma-Bold" w:cs="Tahoma-Bold"/>
          <w:b/>
          <w:bCs/>
        </w:rPr>
        <w:t>storage of oil or liquid petroleum gas.</w:t>
      </w:r>
    </w:p>
    <w:p w14:paraId="0A3102C3" w14:textId="77777777" w:rsidR="00823D20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  <w:r>
        <w:rPr>
          <w:rFonts w:ascii="Tahoma-Bold" w:hAnsi="Tahoma-Bold" w:cs="Tahoma-Bold"/>
          <w:b/>
          <w:bCs/>
        </w:rPr>
        <w:t xml:space="preserve">Development not permitted E.1 </w:t>
      </w:r>
    </w:p>
    <w:p w14:paraId="604A57D8" w14:textId="77777777" w:rsidR="00823D20" w:rsidRDefault="00823D20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</w:p>
    <w:p w14:paraId="0B6132BA" w14:textId="1A2104D3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Development is not permitted</w:t>
      </w:r>
      <w:r w:rsidR="00823D2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by Class E if—</w:t>
      </w:r>
    </w:p>
    <w:p w14:paraId="2AE3C571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a) permission to use the </w:t>
      </w:r>
      <w:proofErr w:type="spellStart"/>
      <w:r>
        <w:rPr>
          <w:rFonts w:ascii="Tahoma" w:hAnsi="Tahoma" w:cs="Tahoma"/>
        </w:rPr>
        <w:t>dwellinghouse</w:t>
      </w:r>
      <w:proofErr w:type="spellEnd"/>
      <w:r>
        <w:rPr>
          <w:rFonts w:ascii="Tahoma" w:hAnsi="Tahoma" w:cs="Tahoma"/>
        </w:rPr>
        <w:t xml:space="preserve"> as a </w:t>
      </w:r>
      <w:proofErr w:type="spellStart"/>
      <w:r>
        <w:rPr>
          <w:rFonts w:ascii="Tahoma" w:hAnsi="Tahoma" w:cs="Tahoma"/>
        </w:rPr>
        <w:t>dwellinghouse</w:t>
      </w:r>
      <w:proofErr w:type="spellEnd"/>
      <w:r>
        <w:rPr>
          <w:rFonts w:ascii="Tahoma" w:hAnsi="Tahoma" w:cs="Tahoma"/>
        </w:rPr>
        <w:t xml:space="preserve"> has</w:t>
      </w:r>
    </w:p>
    <w:p w14:paraId="7F1A388B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been granted only by virtue of Class M, N, P or Q of Part 3 of</w:t>
      </w:r>
    </w:p>
    <w:p w14:paraId="6A98639E" w14:textId="1CA6754F" w:rsidR="00076015" w:rsidRDefault="00076015" w:rsidP="00823D20">
      <w:pPr>
        <w:rPr>
          <w:rFonts w:ascii="Tahoma" w:hAnsi="Tahoma" w:cs="Tahoma"/>
        </w:rPr>
      </w:pPr>
      <w:r>
        <w:rPr>
          <w:rFonts w:ascii="Tahoma" w:hAnsi="Tahoma" w:cs="Tahoma"/>
        </w:rPr>
        <w:t>this Schedule (changes of use);</w:t>
      </w:r>
      <w:r w:rsidR="00823D20">
        <w:rPr>
          <w:rFonts w:ascii="Tahoma" w:hAnsi="Tahoma" w:cs="Tahoma"/>
        </w:rPr>
        <w:t xml:space="preserve"> - </w:t>
      </w:r>
      <w:r>
        <w:rPr>
          <w:rFonts w:ascii="Tahoma" w:hAnsi="Tahoma" w:cs="Tahoma"/>
        </w:rPr>
        <w:t>complies</w:t>
      </w:r>
    </w:p>
    <w:p w14:paraId="733292B1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b) the total area of ground covered by buildings, enclosures and</w:t>
      </w:r>
    </w:p>
    <w:p w14:paraId="76327886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containers within the curtilage (other than the original</w:t>
      </w:r>
    </w:p>
    <w:p w14:paraId="09469FFF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dwellinghouse</w:t>
      </w:r>
      <w:proofErr w:type="spellEnd"/>
      <w:r>
        <w:rPr>
          <w:rFonts w:ascii="Tahoma" w:hAnsi="Tahoma" w:cs="Tahoma"/>
        </w:rPr>
        <w:t>) would exceed 50% of the total area of the</w:t>
      </w:r>
    </w:p>
    <w:p w14:paraId="7574C217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curtilage (excluding the ground area of the original</w:t>
      </w:r>
    </w:p>
    <w:p w14:paraId="08E5B32F" w14:textId="29269D24" w:rsidR="00076015" w:rsidRDefault="00076015" w:rsidP="00823D20">
      <w:p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dwellinghouse</w:t>
      </w:r>
      <w:proofErr w:type="spellEnd"/>
      <w:r>
        <w:rPr>
          <w:rFonts w:ascii="Tahoma" w:hAnsi="Tahoma" w:cs="Tahoma"/>
        </w:rPr>
        <w:t>);</w:t>
      </w:r>
      <w:r w:rsidR="00823D20">
        <w:rPr>
          <w:rFonts w:ascii="Tahoma" w:hAnsi="Tahoma" w:cs="Tahoma"/>
        </w:rPr>
        <w:t xml:space="preserve"> - </w:t>
      </w:r>
      <w:r>
        <w:rPr>
          <w:rFonts w:ascii="Tahoma" w:hAnsi="Tahoma" w:cs="Tahoma"/>
        </w:rPr>
        <w:t>The site coverage is significantly less than 50%</w:t>
      </w:r>
    </w:p>
    <w:p w14:paraId="6F17BDAE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c) any part of the building, enclosure, pool or container would be</w:t>
      </w:r>
    </w:p>
    <w:p w14:paraId="7CD4B178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situated on land forward of a wall forming the principal elevation</w:t>
      </w:r>
    </w:p>
    <w:p w14:paraId="28E73A03" w14:textId="41A91C55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of the original </w:t>
      </w:r>
      <w:proofErr w:type="spellStart"/>
      <w:r>
        <w:rPr>
          <w:rFonts w:ascii="Tahoma" w:hAnsi="Tahoma" w:cs="Tahoma"/>
        </w:rPr>
        <w:t>dwellinghouse</w:t>
      </w:r>
      <w:proofErr w:type="spellEnd"/>
      <w:r>
        <w:rPr>
          <w:rFonts w:ascii="Tahoma" w:hAnsi="Tahoma" w:cs="Tahoma"/>
        </w:rPr>
        <w:t>;</w:t>
      </w:r>
      <w:r w:rsidR="00823D20">
        <w:rPr>
          <w:rFonts w:ascii="Tahoma" w:hAnsi="Tahoma" w:cs="Tahoma"/>
        </w:rPr>
        <w:t xml:space="preserve"> - </w:t>
      </w:r>
      <w:r>
        <w:rPr>
          <w:rFonts w:ascii="Tahoma" w:hAnsi="Tahoma" w:cs="Tahoma"/>
        </w:rPr>
        <w:t>complies</w:t>
      </w:r>
    </w:p>
    <w:p w14:paraId="7DE8AD74" w14:textId="78B7D2EC" w:rsidR="00076015" w:rsidRDefault="00076015" w:rsidP="00823D2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d) the building would have more than a single </w:t>
      </w:r>
      <w:proofErr w:type="spellStart"/>
      <w:r>
        <w:rPr>
          <w:rFonts w:ascii="Tahoma" w:hAnsi="Tahoma" w:cs="Tahoma"/>
        </w:rPr>
        <w:t>storey</w:t>
      </w:r>
      <w:proofErr w:type="spellEnd"/>
      <w:r>
        <w:rPr>
          <w:rFonts w:ascii="Tahoma" w:hAnsi="Tahoma" w:cs="Tahoma"/>
        </w:rPr>
        <w:t>;</w:t>
      </w:r>
      <w:r w:rsidR="00823D20">
        <w:rPr>
          <w:rFonts w:ascii="Tahoma" w:hAnsi="Tahoma" w:cs="Tahoma"/>
        </w:rPr>
        <w:t xml:space="preserve"> - </w:t>
      </w:r>
      <w:r>
        <w:rPr>
          <w:rFonts w:ascii="Tahoma" w:hAnsi="Tahoma" w:cs="Tahoma"/>
        </w:rPr>
        <w:t>complies</w:t>
      </w:r>
    </w:p>
    <w:p w14:paraId="62533A5E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e) the height of the building, enclosure or container would</w:t>
      </w:r>
    </w:p>
    <w:p w14:paraId="2DF31279" w14:textId="3F23B0A1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exceed— (</w:t>
      </w:r>
      <w:proofErr w:type="spellStart"/>
      <w:r>
        <w:rPr>
          <w:rFonts w:ascii="Tahoma" w:hAnsi="Tahoma" w:cs="Tahoma"/>
        </w:rPr>
        <w:t>i</w:t>
      </w:r>
      <w:proofErr w:type="spellEnd"/>
      <w:r>
        <w:rPr>
          <w:rFonts w:ascii="Tahoma" w:hAnsi="Tahoma" w:cs="Tahoma"/>
        </w:rPr>
        <w:t xml:space="preserve">) 4 </w:t>
      </w:r>
      <w:proofErr w:type="spellStart"/>
      <w:r>
        <w:rPr>
          <w:rFonts w:ascii="Tahoma" w:hAnsi="Tahoma" w:cs="Tahoma"/>
        </w:rPr>
        <w:t>metres</w:t>
      </w:r>
      <w:proofErr w:type="spellEnd"/>
      <w:r>
        <w:rPr>
          <w:rFonts w:ascii="Tahoma" w:hAnsi="Tahoma" w:cs="Tahoma"/>
        </w:rPr>
        <w:t xml:space="preserve"> in the case of a building with a dual</w:t>
      </w:r>
      <w:r w:rsidR="00823D20">
        <w:rPr>
          <w:rFonts w:ascii="Tahoma" w:hAnsi="Tahoma" w:cs="Tahoma"/>
        </w:rPr>
        <w:t>-</w:t>
      </w:r>
      <w:r>
        <w:rPr>
          <w:rFonts w:ascii="Tahoma" w:hAnsi="Tahoma" w:cs="Tahoma"/>
        </w:rPr>
        <w:t>pitched</w:t>
      </w:r>
    </w:p>
    <w:p w14:paraId="61187C21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roof, (ii) 2.5 </w:t>
      </w:r>
      <w:proofErr w:type="spellStart"/>
      <w:r>
        <w:rPr>
          <w:rFonts w:ascii="Tahoma" w:hAnsi="Tahoma" w:cs="Tahoma"/>
        </w:rPr>
        <w:t>metres</w:t>
      </w:r>
      <w:proofErr w:type="spellEnd"/>
      <w:r>
        <w:rPr>
          <w:rFonts w:ascii="Tahoma" w:hAnsi="Tahoma" w:cs="Tahoma"/>
        </w:rPr>
        <w:t xml:space="preserve"> in the case of a building, enclosure</w:t>
      </w:r>
    </w:p>
    <w:p w14:paraId="035EE578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or container within 2 </w:t>
      </w:r>
      <w:proofErr w:type="spellStart"/>
      <w:r>
        <w:rPr>
          <w:rFonts w:ascii="Tahoma" w:hAnsi="Tahoma" w:cs="Tahoma"/>
        </w:rPr>
        <w:t>metres</w:t>
      </w:r>
      <w:proofErr w:type="spellEnd"/>
      <w:r>
        <w:rPr>
          <w:rFonts w:ascii="Tahoma" w:hAnsi="Tahoma" w:cs="Tahoma"/>
        </w:rPr>
        <w:t xml:space="preserve"> of the boundary of the curtilage of</w:t>
      </w:r>
    </w:p>
    <w:p w14:paraId="11DECE6E" w14:textId="7F2FE0A3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the </w:t>
      </w:r>
      <w:proofErr w:type="spellStart"/>
      <w:r>
        <w:rPr>
          <w:rFonts w:ascii="Tahoma" w:hAnsi="Tahoma" w:cs="Tahoma"/>
        </w:rPr>
        <w:t>dwellinghouse</w:t>
      </w:r>
      <w:proofErr w:type="spellEnd"/>
      <w:r>
        <w:rPr>
          <w:rFonts w:ascii="Tahoma" w:hAnsi="Tahoma" w:cs="Tahoma"/>
        </w:rPr>
        <w:t xml:space="preserve">, or (iii) 3 </w:t>
      </w:r>
      <w:proofErr w:type="spellStart"/>
      <w:r>
        <w:rPr>
          <w:rFonts w:ascii="Tahoma" w:hAnsi="Tahoma" w:cs="Tahoma"/>
        </w:rPr>
        <w:t>metres</w:t>
      </w:r>
      <w:proofErr w:type="spellEnd"/>
      <w:r>
        <w:rPr>
          <w:rFonts w:ascii="Tahoma" w:hAnsi="Tahoma" w:cs="Tahoma"/>
        </w:rPr>
        <w:t xml:space="preserve"> in any other case;</w:t>
      </w:r>
      <w:r w:rsidR="00823D20">
        <w:rPr>
          <w:rFonts w:ascii="Tahoma" w:hAnsi="Tahoma" w:cs="Tahoma"/>
        </w:rPr>
        <w:t xml:space="preserve"> - </w:t>
      </w:r>
      <w:r>
        <w:rPr>
          <w:rFonts w:ascii="Tahoma" w:hAnsi="Tahoma" w:cs="Tahoma"/>
        </w:rPr>
        <w:t>complies</w:t>
      </w:r>
    </w:p>
    <w:p w14:paraId="2BA217A5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f) the height of the eaves o</w:t>
      </w:r>
      <w:r w:rsidR="00E95154">
        <w:rPr>
          <w:rFonts w:ascii="Tahoma" w:hAnsi="Tahoma" w:cs="Tahoma"/>
        </w:rPr>
        <w:t xml:space="preserve">f the building would exceed 2.5 </w:t>
      </w:r>
      <w:proofErr w:type="spellStart"/>
      <w:r>
        <w:rPr>
          <w:rFonts w:ascii="Tahoma" w:hAnsi="Tahoma" w:cs="Tahoma"/>
        </w:rPr>
        <w:t>metres</w:t>
      </w:r>
      <w:proofErr w:type="spellEnd"/>
      <w:r>
        <w:rPr>
          <w:rFonts w:ascii="Tahoma" w:hAnsi="Tahoma" w:cs="Tahoma"/>
        </w:rPr>
        <w:t>;</w:t>
      </w:r>
    </w:p>
    <w:p w14:paraId="0471EBF0" w14:textId="5C3EC394" w:rsidR="00076015" w:rsidRDefault="00823D20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- </w:t>
      </w:r>
      <w:r w:rsidR="00076015">
        <w:rPr>
          <w:rFonts w:ascii="Tahoma" w:hAnsi="Tahoma" w:cs="Tahoma"/>
        </w:rPr>
        <w:t>complies</w:t>
      </w:r>
    </w:p>
    <w:p w14:paraId="2156F810" w14:textId="523F04D9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g) the building, enclosure, pool</w:t>
      </w:r>
      <w:r w:rsidR="00E95154">
        <w:rPr>
          <w:rFonts w:ascii="Tahoma" w:hAnsi="Tahoma" w:cs="Tahoma"/>
        </w:rPr>
        <w:t xml:space="preserve"> or container would be situated </w:t>
      </w:r>
      <w:r>
        <w:rPr>
          <w:rFonts w:ascii="Tahoma" w:hAnsi="Tahoma" w:cs="Tahoma"/>
        </w:rPr>
        <w:t>within the curtilage of a listed building;</w:t>
      </w:r>
      <w:r w:rsidR="00823D20">
        <w:rPr>
          <w:rFonts w:ascii="Tahoma" w:hAnsi="Tahoma" w:cs="Tahoma"/>
        </w:rPr>
        <w:t xml:space="preserve"> - </w:t>
      </w:r>
      <w:r>
        <w:rPr>
          <w:rFonts w:ascii="Tahoma" w:hAnsi="Tahoma" w:cs="Tahoma"/>
        </w:rPr>
        <w:t>complies</w:t>
      </w:r>
    </w:p>
    <w:p w14:paraId="20773DCE" w14:textId="56A9E8C6" w:rsidR="00076015" w:rsidRDefault="00076015" w:rsidP="00076015">
      <w:pPr>
        <w:rPr>
          <w:rFonts w:ascii="Tahoma" w:hAnsi="Tahoma" w:cs="Tahoma"/>
        </w:rPr>
      </w:pPr>
      <w:r>
        <w:rPr>
          <w:rFonts w:ascii="Tahoma" w:hAnsi="Tahoma" w:cs="Tahoma"/>
        </w:rPr>
        <w:t>h) it would include the construction or provision of a verandah, balcony or raised platform;</w:t>
      </w:r>
      <w:r w:rsidR="00E95154">
        <w:rPr>
          <w:rFonts w:ascii="Tahoma" w:hAnsi="Tahoma" w:cs="Tahoma"/>
        </w:rPr>
        <w:t xml:space="preserve"> </w:t>
      </w:r>
      <w:r w:rsidR="00823D20">
        <w:rPr>
          <w:rFonts w:ascii="Tahoma" w:hAnsi="Tahoma" w:cs="Tahoma"/>
        </w:rPr>
        <w:t>-</w:t>
      </w:r>
      <w:r>
        <w:rPr>
          <w:rFonts w:ascii="Tahoma" w:hAnsi="Tahoma" w:cs="Tahoma"/>
        </w:rPr>
        <w:t>complies</w:t>
      </w:r>
    </w:p>
    <w:p w14:paraId="198ABFF6" w14:textId="77777777" w:rsidR="00E95154" w:rsidRDefault="00076015" w:rsidP="00E95154">
      <w:p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i</w:t>
      </w:r>
      <w:proofErr w:type="spellEnd"/>
      <w:r>
        <w:rPr>
          <w:rFonts w:ascii="Tahoma" w:hAnsi="Tahoma" w:cs="Tahoma"/>
        </w:rPr>
        <w:t>) it relates to a dwelling or a microwave antenna; or</w:t>
      </w:r>
      <w:r w:rsidR="00E95154">
        <w:rPr>
          <w:rFonts w:ascii="Tahoma" w:hAnsi="Tahoma" w:cs="Tahoma"/>
        </w:rPr>
        <w:t xml:space="preserve"> </w:t>
      </w:r>
    </w:p>
    <w:p w14:paraId="7AF2F5B6" w14:textId="5F2BF7AA" w:rsidR="00076015" w:rsidRDefault="00823D20" w:rsidP="00E95154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- </w:t>
      </w:r>
      <w:r w:rsidR="00076015">
        <w:rPr>
          <w:rFonts w:ascii="Tahoma" w:hAnsi="Tahoma" w:cs="Tahoma"/>
        </w:rPr>
        <w:t>complies</w:t>
      </w:r>
    </w:p>
    <w:p w14:paraId="55C953E8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j) the capacity of the container would exceed 3,500 </w:t>
      </w:r>
      <w:proofErr w:type="spellStart"/>
      <w:r>
        <w:rPr>
          <w:rFonts w:ascii="Tahoma" w:hAnsi="Tahoma" w:cs="Tahoma"/>
        </w:rPr>
        <w:t>litres</w:t>
      </w:r>
      <w:proofErr w:type="spellEnd"/>
      <w:r>
        <w:rPr>
          <w:rFonts w:ascii="Tahoma" w:hAnsi="Tahoma" w:cs="Tahoma"/>
        </w:rPr>
        <w:t>.</w:t>
      </w:r>
    </w:p>
    <w:p w14:paraId="27A4D0D0" w14:textId="2394AEFA" w:rsidR="00076015" w:rsidRDefault="00823D20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- </w:t>
      </w:r>
      <w:r w:rsidR="00076015">
        <w:rPr>
          <w:rFonts w:ascii="Tahoma" w:hAnsi="Tahoma" w:cs="Tahoma"/>
        </w:rPr>
        <w:t>complies</w:t>
      </w:r>
    </w:p>
    <w:p w14:paraId="78EB73C1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</w:p>
    <w:p w14:paraId="7BC4BC27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-Bold" w:hAnsi="Tahoma-Bold" w:cs="Tahoma-Bold"/>
          <w:b/>
          <w:bCs/>
        </w:rPr>
        <w:t xml:space="preserve">E.2 </w:t>
      </w:r>
      <w:r>
        <w:rPr>
          <w:rFonts w:ascii="Tahoma" w:hAnsi="Tahoma" w:cs="Tahoma"/>
        </w:rPr>
        <w:t xml:space="preserve">In the case of any land within the curtilage of the </w:t>
      </w:r>
      <w:proofErr w:type="spellStart"/>
      <w:r>
        <w:rPr>
          <w:rFonts w:ascii="Tahoma" w:hAnsi="Tahoma" w:cs="Tahoma"/>
        </w:rPr>
        <w:t>dwellinghouse</w:t>
      </w:r>
      <w:proofErr w:type="spellEnd"/>
    </w:p>
    <w:p w14:paraId="45732CE9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which is within—</w:t>
      </w:r>
    </w:p>
    <w:p w14:paraId="6E8ED383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a) an area of outstanding natural beauty;</w:t>
      </w:r>
    </w:p>
    <w:p w14:paraId="785545DE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b) the Broads;</w:t>
      </w:r>
    </w:p>
    <w:p w14:paraId="7A664A75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c) a National Park; or</w:t>
      </w:r>
    </w:p>
    <w:p w14:paraId="4143719A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d) a World Heritage Site,</w:t>
      </w:r>
    </w:p>
    <w:p w14:paraId="5369E79A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development is not permitted by Class E if the total area of ground</w:t>
      </w:r>
    </w:p>
    <w:p w14:paraId="20E6E3CD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covered by buildings, enclosures, pools and containers situated</w:t>
      </w:r>
    </w:p>
    <w:p w14:paraId="54BDF5AE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more than 20 </w:t>
      </w:r>
      <w:proofErr w:type="spellStart"/>
      <w:r>
        <w:rPr>
          <w:rFonts w:ascii="Tahoma" w:hAnsi="Tahoma" w:cs="Tahoma"/>
        </w:rPr>
        <w:t>metres</w:t>
      </w:r>
      <w:proofErr w:type="spellEnd"/>
      <w:r>
        <w:rPr>
          <w:rFonts w:ascii="Tahoma" w:hAnsi="Tahoma" w:cs="Tahoma"/>
        </w:rPr>
        <w:t xml:space="preserve"> from any wall of the </w:t>
      </w:r>
      <w:proofErr w:type="spellStart"/>
      <w:r>
        <w:rPr>
          <w:rFonts w:ascii="Tahoma" w:hAnsi="Tahoma" w:cs="Tahoma"/>
        </w:rPr>
        <w:t>dwellinghouse</w:t>
      </w:r>
      <w:proofErr w:type="spellEnd"/>
      <w:r>
        <w:rPr>
          <w:rFonts w:ascii="Tahoma" w:hAnsi="Tahoma" w:cs="Tahoma"/>
        </w:rPr>
        <w:t xml:space="preserve"> would</w:t>
      </w:r>
      <w:r w:rsidR="002634A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exceed 10 square </w:t>
      </w:r>
      <w:proofErr w:type="spellStart"/>
      <w:r>
        <w:rPr>
          <w:rFonts w:ascii="Tahoma" w:hAnsi="Tahoma" w:cs="Tahoma"/>
        </w:rPr>
        <w:t>metres</w:t>
      </w:r>
      <w:proofErr w:type="spellEnd"/>
      <w:r>
        <w:rPr>
          <w:rFonts w:ascii="Tahoma" w:hAnsi="Tahoma" w:cs="Tahoma"/>
        </w:rPr>
        <w:t>.</w:t>
      </w:r>
    </w:p>
    <w:p w14:paraId="1686F59F" w14:textId="3EF1CDD5" w:rsidR="00076015" w:rsidRPr="00823D20" w:rsidRDefault="00076015" w:rsidP="00823D2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23D20">
        <w:rPr>
          <w:rFonts w:ascii="Tahoma" w:hAnsi="Tahoma" w:cs="Tahoma"/>
        </w:rPr>
        <w:t>Not relevant</w:t>
      </w:r>
    </w:p>
    <w:p w14:paraId="52898D55" w14:textId="77777777" w:rsidR="002634A7" w:rsidRDefault="002634A7" w:rsidP="0007601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</w:rPr>
      </w:pPr>
    </w:p>
    <w:p w14:paraId="01FFD50B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-Bold" w:hAnsi="Tahoma-Bold" w:cs="Tahoma-Bold"/>
          <w:b/>
          <w:bCs/>
        </w:rPr>
        <w:t xml:space="preserve">E.3 </w:t>
      </w:r>
      <w:r>
        <w:rPr>
          <w:rFonts w:ascii="Tahoma" w:hAnsi="Tahoma" w:cs="Tahoma"/>
        </w:rPr>
        <w:t xml:space="preserve">In the case of any land within the curtilage of the </w:t>
      </w:r>
      <w:proofErr w:type="spellStart"/>
      <w:r>
        <w:rPr>
          <w:rFonts w:ascii="Tahoma" w:hAnsi="Tahoma" w:cs="Tahoma"/>
        </w:rPr>
        <w:t>dwellinghouse</w:t>
      </w:r>
      <w:proofErr w:type="spellEnd"/>
    </w:p>
    <w:p w14:paraId="4E9CAE55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which is article 2(3) land, development is not permitted by Class E if</w:t>
      </w:r>
    </w:p>
    <w:p w14:paraId="6BD8DA94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any part of the building, enclosure, pool or container would be</w:t>
      </w:r>
    </w:p>
    <w:p w14:paraId="79465F97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situated on land between a wall forming a side elevation of the</w:t>
      </w:r>
    </w:p>
    <w:p w14:paraId="1BCE1F91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dwellinghouse</w:t>
      </w:r>
      <w:proofErr w:type="spellEnd"/>
      <w:r>
        <w:rPr>
          <w:rFonts w:ascii="Tahoma" w:hAnsi="Tahoma" w:cs="Tahoma"/>
        </w:rPr>
        <w:t xml:space="preserve"> and the boundary of the curtilage of the</w:t>
      </w:r>
    </w:p>
    <w:p w14:paraId="4D9DACF4" w14:textId="77777777" w:rsidR="00076015" w:rsidRDefault="00076015" w:rsidP="000760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dwellinghouse</w:t>
      </w:r>
      <w:proofErr w:type="spellEnd"/>
      <w:r>
        <w:rPr>
          <w:rFonts w:ascii="Tahoma" w:hAnsi="Tahoma" w:cs="Tahoma"/>
        </w:rPr>
        <w:t>.</w:t>
      </w:r>
    </w:p>
    <w:p w14:paraId="3500FE15" w14:textId="1995AB42" w:rsidR="00076015" w:rsidRPr="00823D20" w:rsidRDefault="00076015" w:rsidP="00823D20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 w:rsidRPr="00823D20">
        <w:rPr>
          <w:rFonts w:ascii="Tahoma" w:hAnsi="Tahoma" w:cs="Tahoma"/>
        </w:rPr>
        <w:t>Not relevant</w:t>
      </w:r>
    </w:p>
    <w:p w14:paraId="0220459F" w14:textId="77777777" w:rsidR="002634A7" w:rsidRDefault="002634A7" w:rsidP="00076015">
      <w:pPr>
        <w:rPr>
          <w:rFonts w:ascii="Tahoma" w:hAnsi="Tahoma" w:cs="Tahoma"/>
        </w:rPr>
      </w:pPr>
    </w:p>
    <w:p w14:paraId="2B1B9E0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The Technical Guidance is supplementary to the General Permitted Development</w:t>
      </w:r>
    </w:p>
    <w:p w14:paraId="5D8983E0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Order 2015 and does not have the force of law. The requirement under Class E</w:t>
      </w:r>
    </w:p>
    <w:p w14:paraId="7F950E59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that an outbuilding be ‘reasonably required’ is set out in the GPDO 2015 and in</w:t>
      </w:r>
    </w:p>
    <w:p w14:paraId="145474B4" w14:textId="77777777" w:rsidR="002634A7" w:rsidRDefault="002634A7" w:rsidP="002634A7">
      <w:pPr>
        <w:rPr>
          <w:rFonts w:ascii="Tahoma" w:hAnsi="Tahoma" w:cs="Tahoma"/>
        </w:rPr>
      </w:pPr>
      <w:r>
        <w:rPr>
          <w:rFonts w:ascii="Tahoma" w:hAnsi="Tahoma" w:cs="Tahoma"/>
        </w:rPr>
        <w:t>the GPDO 1995 that preceded it.</w:t>
      </w:r>
    </w:p>
    <w:p w14:paraId="070DE759" w14:textId="77777777" w:rsidR="002634A7" w:rsidRDefault="002634A7" w:rsidP="002634A7">
      <w:pPr>
        <w:rPr>
          <w:rFonts w:ascii="Tahoma" w:hAnsi="Tahoma" w:cs="Tahoma"/>
        </w:rPr>
      </w:pPr>
    </w:p>
    <w:p w14:paraId="3B70FF86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The Council’s sole power in respect of an application for a certificate of lawfulness of this kind is to determine whether it meets the criteria in the GPDO</w:t>
      </w:r>
    </w:p>
    <w:p w14:paraId="79078860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3107BCC4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In </w:t>
      </w:r>
      <w:proofErr w:type="gramStart"/>
      <w:r>
        <w:rPr>
          <w:rFonts w:ascii="Tahoma" w:hAnsi="Tahoma" w:cs="Tahoma"/>
          <w:color w:val="000000"/>
        </w:rPr>
        <w:t>a number of</w:t>
      </w:r>
      <w:proofErr w:type="gramEnd"/>
      <w:r>
        <w:rPr>
          <w:rFonts w:ascii="Tahoma" w:hAnsi="Tahoma" w:cs="Tahoma"/>
          <w:color w:val="000000"/>
        </w:rPr>
        <w:t xml:space="preserve"> recent appeal decisions, inspectors have accepted appellants’</w:t>
      </w:r>
    </w:p>
    <w:p w14:paraId="10E188A4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arguments that a proposed outbuilding is intended for conventional domestic</w:t>
      </w:r>
    </w:p>
    <w:p w14:paraId="3743C276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uses. In an appeal decided in October 2015 (reference:</w:t>
      </w:r>
    </w:p>
    <w:p w14:paraId="3D87FC43" w14:textId="77777777" w:rsidR="002634A7" w:rsidRDefault="00FC7EEF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APP/G5180/X/15/3011495</w:t>
      </w:r>
      <w:r w:rsidR="002634A7">
        <w:rPr>
          <w:rFonts w:ascii="Tahoma" w:hAnsi="Tahoma" w:cs="Tahoma"/>
          <w:color w:val="000000"/>
        </w:rPr>
        <w:t>) the</w:t>
      </w:r>
    </w:p>
    <w:p w14:paraId="24E5768D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inspector considered whether a pair of outbuildings (one a garage housing 5</w:t>
      </w:r>
    </w:p>
    <w:p w14:paraId="1201BB65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motor vehicles, the other a games room, work room, store and utility room)</w:t>
      </w:r>
    </w:p>
    <w:p w14:paraId="677EBFB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with a footprint of 190sqm could be considered reasonably required for</w:t>
      </w:r>
    </w:p>
    <w:p w14:paraId="048CFDBD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lastRenderedPageBreak/>
        <w:t>purposes incidental to the enjoyment of the dwelling house. The inspector</w:t>
      </w:r>
    </w:p>
    <w:p w14:paraId="2FEEE89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concluded that the appellant reasonably required the garage for the storage of</w:t>
      </w:r>
    </w:p>
    <w:p w14:paraId="7B5ECEA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his collection of cars and the other outbuilding was appropriate in the context</w:t>
      </w:r>
    </w:p>
    <w:p w14:paraId="7F2A29DD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of the needs of the family. He opined:</w:t>
      </w:r>
    </w:p>
    <w:p w14:paraId="0F94FDCC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</w:p>
    <w:p w14:paraId="61D92DFC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 xml:space="preserve">“…it is primarily for the occupier of the </w:t>
      </w:r>
      <w:proofErr w:type="spellStart"/>
      <w:r>
        <w:rPr>
          <w:rFonts w:ascii="Tahoma" w:hAnsi="Tahoma" w:cs="Tahoma"/>
          <w:color w:val="404040"/>
        </w:rPr>
        <w:t>dwellinghouse</w:t>
      </w:r>
      <w:proofErr w:type="spellEnd"/>
      <w:r>
        <w:rPr>
          <w:rFonts w:ascii="Tahoma" w:hAnsi="Tahoma" w:cs="Tahoma"/>
          <w:color w:val="404040"/>
        </w:rPr>
        <w:t xml:space="preserve"> to</w:t>
      </w:r>
    </w:p>
    <w:p w14:paraId="63C6033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determine what incidental uses he wishes to enjoy subject to</w:t>
      </w:r>
    </w:p>
    <w:p w14:paraId="3E758F86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the test of objective reasonableness. In this instance, the main</w:t>
      </w:r>
    </w:p>
    <w:p w14:paraId="3F0FD2E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dwelling is large, it is set within a large plot and, for the</w:t>
      </w:r>
    </w:p>
    <w:p w14:paraId="5D1AF635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reasons mentioned, I find it reasonable that the appellant</w:t>
      </w:r>
    </w:p>
    <w:p w14:paraId="6E64269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wishes to provide a separate building for recreational and other</w:t>
      </w:r>
    </w:p>
    <w:p w14:paraId="132A73A9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uses associated with the use of the main property as a</w:t>
      </w:r>
    </w:p>
    <w:p w14:paraId="5EA3E266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proofErr w:type="spellStart"/>
      <w:r>
        <w:rPr>
          <w:rFonts w:ascii="Tahoma" w:hAnsi="Tahoma" w:cs="Tahoma"/>
          <w:color w:val="404040"/>
        </w:rPr>
        <w:t>dwellinghouse</w:t>
      </w:r>
      <w:proofErr w:type="spellEnd"/>
      <w:r>
        <w:rPr>
          <w:rFonts w:ascii="Tahoma" w:hAnsi="Tahoma" w:cs="Tahoma"/>
          <w:color w:val="404040"/>
        </w:rPr>
        <w:t>. I am, therefore, satisfied that the appellant has</w:t>
      </w:r>
    </w:p>
    <w:p w14:paraId="5031523F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proven on the balance of probabilities that the games room and</w:t>
      </w:r>
    </w:p>
    <w:p w14:paraId="0F2D2A0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other rooms within this second building are required for a</w:t>
      </w:r>
    </w:p>
    <w:p w14:paraId="52B15083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 xml:space="preserve">purpose incidental to the enjoyment of the </w:t>
      </w:r>
      <w:proofErr w:type="spellStart"/>
      <w:r>
        <w:rPr>
          <w:rFonts w:ascii="Tahoma" w:hAnsi="Tahoma" w:cs="Tahoma"/>
          <w:color w:val="404040"/>
        </w:rPr>
        <w:t>dwellinghouse</w:t>
      </w:r>
      <w:proofErr w:type="spellEnd"/>
      <w:r>
        <w:rPr>
          <w:rFonts w:ascii="Tahoma" w:hAnsi="Tahoma" w:cs="Tahoma"/>
          <w:color w:val="404040"/>
        </w:rPr>
        <w:t xml:space="preserve"> as</w:t>
      </w:r>
    </w:p>
    <w:p w14:paraId="776A9DDC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14:paraId="5036ECD1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 a similar appeal in September 2015 (ref</w:t>
      </w:r>
      <w:r w:rsidR="00FC7EEF">
        <w:rPr>
          <w:rFonts w:ascii="Tahoma" w:hAnsi="Tahoma" w:cs="Tahoma"/>
          <w:color w:val="000000"/>
        </w:rPr>
        <w:t>erence: APP/H4505/X/14/3001056</w:t>
      </w:r>
      <w:r>
        <w:rPr>
          <w:rFonts w:ascii="Tahoma" w:hAnsi="Tahoma" w:cs="Tahoma"/>
          <w:color w:val="000000"/>
        </w:rPr>
        <w:t>), an inspector considered the case for a 200sqm outbuilding to</w:t>
      </w:r>
    </w:p>
    <w:p w14:paraId="6627FD5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house a lobby, plant/store room, shower/changing room and a swimming pool.</w:t>
      </w:r>
    </w:p>
    <w:p w14:paraId="272EF6A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Though the outbuilding would be 183% larger in footprint that the main</w:t>
      </w:r>
    </w:p>
    <w:p w14:paraId="4FB85A46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dwelling, the inspector concluded that “the building is not overlarge for its</w:t>
      </w:r>
    </w:p>
    <w:p w14:paraId="6E6C1CD3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intended purpose”, and would represent “only 10% of the curtilage of</w:t>
      </w:r>
    </w:p>
    <w:p w14:paraId="449AABFC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proofErr w:type="spellStart"/>
      <w:r>
        <w:rPr>
          <w:rFonts w:ascii="Tahoma" w:hAnsi="Tahoma" w:cs="Tahoma"/>
          <w:color w:val="000000"/>
        </w:rPr>
        <w:t>dwellinghouse</w:t>
      </w:r>
      <w:proofErr w:type="spellEnd"/>
      <w:r>
        <w:rPr>
          <w:rFonts w:ascii="Tahoma" w:hAnsi="Tahoma" w:cs="Tahoma"/>
          <w:color w:val="000000"/>
        </w:rPr>
        <w:t>”. In any case, he decided:</w:t>
      </w:r>
    </w:p>
    <w:p w14:paraId="7CC4BA96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“…the size of the proposed building is an important</w:t>
      </w:r>
    </w:p>
    <w:p w14:paraId="2236F6B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consideration but is not by itself conclusive.”</w:t>
      </w:r>
    </w:p>
    <w:p w14:paraId="31A4A061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</w:p>
    <w:p w14:paraId="13A97C69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 August 2015, an inspector allowed an appeal (reference:</w:t>
      </w:r>
    </w:p>
    <w:p w14:paraId="6816937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APP/P5870/X</w:t>
      </w:r>
      <w:r w:rsidR="00FC7EEF">
        <w:rPr>
          <w:rFonts w:ascii="Tahoma" w:hAnsi="Tahoma" w:cs="Tahoma"/>
          <w:color w:val="000000"/>
        </w:rPr>
        <w:t>/14/2227399</w:t>
      </w:r>
      <w:r>
        <w:rPr>
          <w:rFonts w:ascii="Tahoma" w:hAnsi="Tahoma" w:cs="Tahoma"/>
          <w:color w:val="000000"/>
        </w:rPr>
        <w:t>) against a refusal to issue a</w:t>
      </w:r>
    </w:p>
    <w:p w14:paraId="45236B4F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certificate for an outbuilding for use as a double garage, garden store and</w:t>
      </w:r>
    </w:p>
    <w:p w14:paraId="7AD888F1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swimming pool with shower and changing rooms. The inspector noted:</w:t>
      </w:r>
    </w:p>
    <w:p w14:paraId="600A7E2F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“The size of the outbuilding in relation to that of the</w:t>
      </w:r>
    </w:p>
    <w:p w14:paraId="0D97BC00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proofErr w:type="spellStart"/>
      <w:r>
        <w:rPr>
          <w:rFonts w:ascii="Tahoma" w:hAnsi="Tahoma" w:cs="Tahoma"/>
          <w:color w:val="404040"/>
        </w:rPr>
        <w:t>dwellinghouse</w:t>
      </w:r>
      <w:proofErr w:type="spellEnd"/>
      <w:r>
        <w:rPr>
          <w:rFonts w:ascii="Tahoma" w:hAnsi="Tahoma" w:cs="Tahoma"/>
          <w:color w:val="404040"/>
        </w:rPr>
        <w:t xml:space="preserve"> is an important consideration in this regard but</w:t>
      </w:r>
    </w:p>
    <w:p w14:paraId="1114073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is not by itself conclusive. The Court held that the term</w:t>
      </w:r>
    </w:p>
    <w:p w14:paraId="4864CFAC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 xml:space="preserve">‘incidental to the enjoyment of the </w:t>
      </w:r>
      <w:proofErr w:type="spellStart"/>
      <w:r>
        <w:rPr>
          <w:rFonts w:ascii="Tahoma" w:hAnsi="Tahoma" w:cs="Tahoma"/>
          <w:color w:val="404040"/>
        </w:rPr>
        <w:t>dwellinghouse</w:t>
      </w:r>
      <w:proofErr w:type="spellEnd"/>
      <w:r>
        <w:rPr>
          <w:rFonts w:ascii="Tahoma" w:hAnsi="Tahoma" w:cs="Tahoma"/>
          <w:color w:val="404040"/>
        </w:rPr>
        <w:t xml:space="preserve"> as such’</w:t>
      </w:r>
    </w:p>
    <w:p w14:paraId="5E7FD066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should not be interpreted on the unrestrained whim of the</w:t>
      </w:r>
    </w:p>
    <w:p w14:paraId="686ACDD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householder but connotes some sense of reasonableness in the</w:t>
      </w:r>
    </w:p>
    <w:p w14:paraId="64689E4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 xml:space="preserve">circumstances of the </w:t>
      </w:r>
      <w:proofErr w:type="gramStart"/>
      <w:r>
        <w:rPr>
          <w:rFonts w:ascii="Tahoma" w:hAnsi="Tahoma" w:cs="Tahoma"/>
          <w:color w:val="404040"/>
        </w:rPr>
        <w:t>particular case</w:t>
      </w:r>
      <w:proofErr w:type="gramEnd"/>
      <w:r>
        <w:rPr>
          <w:rFonts w:ascii="Tahoma" w:hAnsi="Tahoma" w:cs="Tahoma"/>
          <w:color w:val="404040"/>
        </w:rPr>
        <w:t>. The judgment also makes</w:t>
      </w:r>
    </w:p>
    <w:p w14:paraId="1C8DFC51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clear that the appropriate question to be asked is ‘...whether</w:t>
      </w:r>
    </w:p>
    <w:p w14:paraId="0E156B1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the proposed buildings are genuinely and reasonably required</w:t>
      </w:r>
    </w:p>
    <w:p w14:paraId="66B95B7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or necessary in order to accommodate the proposed use or</w:t>
      </w:r>
    </w:p>
    <w:p w14:paraId="6FF7D553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purpose and thus achieve that (incidental) purpose’. This</w:t>
      </w:r>
    </w:p>
    <w:p w14:paraId="11BFC837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general principle was reiterated in LB Croydon v Gladden</w:t>
      </w:r>
    </w:p>
    <w:p w14:paraId="0570B196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[1994] 1 PLR 2.”</w:t>
      </w:r>
    </w:p>
    <w:p w14:paraId="4F59858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</w:p>
    <w:p w14:paraId="38649B8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He went on to say:</w:t>
      </w:r>
    </w:p>
    <w:p w14:paraId="06AF842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“I am satisfied that, in principle, facilities such as a double</w:t>
      </w:r>
    </w:p>
    <w:p w14:paraId="166E8F09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garage, garden store and swimming pool with shower and</w:t>
      </w:r>
    </w:p>
    <w:p w14:paraId="2A721A3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lastRenderedPageBreak/>
        <w:t>changing rooms may be regarded as reasonably required for</w:t>
      </w:r>
    </w:p>
    <w:p w14:paraId="7663C667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incidental purposes. All are facilities that residential occupiers</w:t>
      </w:r>
    </w:p>
    <w:p w14:paraId="6CBF603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might reasonably aspire to in seeking to improve their quality</w:t>
      </w:r>
    </w:p>
    <w:p w14:paraId="04DC0A10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of life. Nor is it unreasonable to assume that such facilities</w:t>
      </w:r>
    </w:p>
    <w:p w14:paraId="087AABB5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would be genuinely incidental to the domestic enjoyment of the</w:t>
      </w:r>
    </w:p>
    <w:p w14:paraId="6519F274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property by future occupiers as well as the Appellants.”</w:t>
      </w:r>
    </w:p>
    <w:p w14:paraId="2F7732B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14:paraId="0AE189E0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Commenting specifically on the Council’s concerns in relation to the size of the</w:t>
      </w:r>
    </w:p>
    <w:p w14:paraId="0972FF5D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building:</w:t>
      </w:r>
    </w:p>
    <w:p w14:paraId="1BBB53FA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“Moreover, I do not find a disparity between the size of the</w:t>
      </w:r>
    </w:p>
    <w:p w14:paraId="7C915257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envisaged outbuilding, the scale of the proposed facilities and the contention that it would be put to purposes incidental to</w:t>
      </w:r>
    </w:p>
    <w:p w14:paraId="6E10E07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 xml:space="preserve">the enjoyment of the </w:t>
      </w:r>
      <w:proofErr w:type="spellStart"/>
      <w:r>
        <w:rPr>
          <w:rFonts w:ascii="Tahoma" w:hAnsi="Tahoma" w:cs="Tahoma"/>
          <w:color w:val="404040"/>
        </w:rPr>
        <w:t>dwellinghouse</w:t>
      </w:r>
      <w:proofErr w:type="spellEnd"/>
      <w:r>
        <w:rPr>
          <w:rFonts w:ascii="Tahoma" w:hAnsi="Tahoma" w:cs="Tahoma"/>
          <w:color w:val="404040"/>
        </w:rPr>
        <w:t>. Having been extended,</w:t>
      </w:r>
    </w:p>
    <w:p w14:paraId="18804805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the property is now very substantial and capable of</w:t>
      </w:r>
    </w:p>
    <w:p w14:paraId="0C579500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accommodating a large family. The outbuilding would be set a</w:t>
      </w:r>
    </w:p>
    <w:p w14:paraId="16FBE8C9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considerable distance from the main dwelling, albeit still within</w:t>
      </w:r>
    </w:p>
    <w:p w14:paraId="591E1AF2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the residential curtilage and, unquestionably, would be</w:t>
      </w:r>
    </w:p>
    <w:p w14:paraId="72FC8B0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subordinate to it in terms of volume. The fact that its footprint</w:t>
      </w:r>
    </w:p>
    <w:p w14:paraId="5D6E98E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would be about 45% larger than the cumulative area covered</w:t>
      </w:r>
    </w:p>
    <w:p w14:paraId="76EDD95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by the structures that are proposed to be, or have already</w:t>
      </w:r>
    </w:p>
    <w:p w14:paraId="1DB8F57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been, demolished does not of itself signal that its use could not</w:t>
      </w:r>
    </w:p>
    <w:p w14:paraId="5BADBC0F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be required for genuinely ‘incidental’ purposes.”</w:t>
      </w:r>
    </w:p>
    <w:p w14:paraId="33145F85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It is unclear why the Council has drawn comparison between</w:t>
      </w:r>
    </w:p>
    <w:p w14:paraId="2FA14384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the sizes of the proposed outbuilding and the original dwelling.</w:t>
      </w:r>
    </w:p>
    <w:p w14:paraId="58A7DC65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The fact that the latter has a footprint smaller than that of the</w:t>
      </w:r>
    </w:p>
    <w:p w14:paraId="3ABEE66F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proposal has very little relevance to my assessment, which</w:t>
      </w:r>
    </w:p>
    <w:p w14:paraId="489AFEB3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 xml:space="preserve">must be made in relation to the dwelling as it stood on 23 July 2014. </w:t>
      </w:r>
    </w:p>
    <w:p w14:paraId="7D29F2B7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In any event, relative floor areas must also be taken into</w:t>
      </w:r>
    </w:p>
    <w:p w14:paraId="4D514094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account. In doing so, it must be borne in mind that the</w:t>
      </w:r>
    </w:p>
    <w:p w14:paraId="41274F66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 xml:space="preserve">dwelling comprises two </w:t>
      </w:r>
      <w:proofErr w:type="spellStart"/>
      <w:r>
        <w:rPr>
          <w:rFonts w:ascii="Tahoma" w:hAnsi="Tahoma" w:cs="Tahoma"/>
          <w:color w:val="404040"/>
        </w:rPr>
        <w:t>storeys</w:t>
      </w:r>
      <w:proofErr w:type="spellEnd"/>
      <w:r>
        <w:rPr>
          <w:rFonts w:ascii="Tahoma" w:hAnsi="Tahoma" w:cs="Tahoma"/>
          <w:color w:val="404040"/>
        </w:rPr>
        <w:t>. Having regard to Wallington v</w:t>
      </w:r>
    </w:p>
    <w:p w14:paraId="1C1DC98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 xml:space="preserve">SSW [1991] 1 PLR 87, the proposed facilities would not, in </w:t>
      </w:r>
      <w:proofErr w:type="gramStart"/>
      <w:r>
        <w:rPr>
          <w:rFonts w:ascii="Tahoma" w:hAnsi="Tahoma" w:cs="Tahoma"/>
          <w:color w:val="404040"/>
        </w:rPr>
        <w:t>my</w:t>
      </w:r>
      <w:proofErr w:type="gramEnd"/>
    </w:p>
    <w:p w14:paraId="3DC93934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assessment, exceed what might reasonably be required by a</w:t>
      </w:r>
    </w:p>
    <w:p w14:paraId="6BA44EB6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single household occupying a property of this size.”</w:t>
      </w:r>
    </w:p>
    <w:p w14:paraId="196C9F9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</w:p>
    <w:p w14:paraId="773441D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In September 2017, an inspector granted a certificate at 52 </w:t>
      </w:r>
      <w:proofErr w:type="spellStart"/>
      <w:r>
        <w:rPr>
          <w:rFonts w:ascii="Tahoma" w:hAnsi="Tahoma" w:cs="Tahoma"/>
        </w:rPr>
        <w:t>Harlington</w:t>
      </w:r>
      <w:proofErr w:type="spellEnd"/>
      <w:r>
        <w:rPr>
          <w:rFonts w:ascii="Tahoma" w:hAnsi="Tahoma" w:cs="Tahoma"/>
        </w:rPr>
        <w:t xml:space="preserve"> Road in</w:t>
      </w:r>
    </w:p>
    <w:p w14:paraId="2ACEE651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the London Borough of Hillingdon (referen</w:t>
      </w:r>
      <w:r w:rsidR="00FC7EEF">
        <w:rPr>
          <w:rFonts w:ascii="Tahoma" w:hAnsi="Tahoma" w:cs="Tahoma"/>
        </w:rPr>
        <w:t>ce: APP/R5510/C/17/3170575)</w:t>
      </w:r>
      <w:r>
        <w:rPr>
          <w:rFonts w:ascii="Tahoma" w:hAnsi="Tahoma" w:cs="Tahoma"/>
        </w:rPr>
        <w:t>. The inspector observed that “the proposed outbuilding would</w:t>
      </w:r>
    </w:p>
    <w:p w14:paraId="5E668C2A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have a footprint larger that the footprint of the main dwelling” and that the</w:t>
      </w:r>
    </w:p>
    <w:p w14:paraId="1F1BFFD3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appellant proposed to </w:t>
      </w:r>
      <w:proofErr w:type="gramStart"/>
      <w:r>
        <w:rPr>
          <w:rFonts w:ascii="Tahoma" w:hAnsi="Tahoma" w:cs="Tahoma"/>
        </w:rPr>
        <w:t>building</w:t>
      </w:r>
      <w:proofErr w:type="gramEnd"/>
      <w:r>
        <w:rPr>
          <w:rFonts w:ascii="Tahoma" w:hAnsi="Tahoma" w:cs="Tahoma"/>
        </w:rPr>
        <w:t xml:space="preserve"> to be divided in 4 and be used for “home</w:t>
      </w:r>
    </w:p>
    <w:p w14:paraId="10320FF5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working, fitness equipment and cake decoration and storage”. The inspector</w:t>
      </w:r>
    </w:p>
    <w:p w14:paraId="6B9AD65C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reasoned as follows:</w:t>
      </w:r>
    </w:p>
    <w:p w14:paraId="2E1E75A5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6193F5E9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 xml:space="preserve">“It is primarily for an occupier of a </w:t>
      </w:r>
      <w:proofErr w:type="spellStart"/>
      <w:r>
        <w:rPr>
          <w:rFonts w:ascii="Tahoma" w:hAnsi="Tahoma" w:cs="Tahoma"/>
          <w:color w:val="404040"/>
        </w:rPr>
        <w:t>dwellinghouse</w:t>
      </w:r>
      <w:proofErr w:type="spellEnd"/>
      <w:r>
        <w:rPr>
          <w:rFonts w:ascii="Tahoma" w:hAnsi="Tahoma" w:cs="Tahoma"/>
          <w:color w:val="404040"/>
        </w:rPr>
        <w:t xml:space="preserve"> to determine</w:t>
      </w:r>
    </w:p>
    <w:p w14:paraId="044DC39D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what incidental uses he/she wishes to enjoy subject to the</w:t>
      </w:r>
    </w:p>
    <w:p w14:paraId="36561AF4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objective test of reasonableness. In this case I am satisfied that</w:t>
      </w:r>
    </w:p>
    <w:p w14:paraId="2054CFF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the Appellant has provided adequate explanation for the</w:t>
      </w:r>
    </w:p>
    <w:p w14:paraId="70BB21F3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proposed uses and that those uses may be regarded as</w:t>
      </w:r>
    </w:p>
    <w:p w14:paraId="561264B5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reasonably required for incidental purposes. I have taken into</w:t>
      </w:r>
    </w:p>
    <w:p w14:paraId="1AAE504B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lastRenderedPageBreak/>
        <w:t>account the relatively large size of the proposed outbuilding</w:t>
      </w:r>
    </w:p>
    <w:p w14:paraId="2C4B0D3D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compared to the main dwelling but this factor is not</w:t>
      </w:r>
    </w:p>
    <w:p w14:paraId="56479548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determinative. On the particular facts of this case the size of</w:t>
      </w:r>
    </w:p>
    <w:p w14:paraId="1336C6DF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the proposed outbuilding and layout comprising four partitioned</w:t>
      </w:r>
    </w:p>
    <w:p w14:paraId="37781914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 xml:space="preserve">rooms </w:t>
      </w:r>
      <w:proofErr w:type="gramStart"/>
      <w:r>
        <w:rPr>
          <w:rFonts w:ascii="Tahoma" w:hAnsi="Tahoma" w:cs="Tahoma"/>
          <w:color w:val="404040"/>
        </w:rPr>
        <w:t>does</w:t>
      </w:r>
      <w:proofErr w:type="gramEnd"/>
      <w:r>
        <w:rPr>
          <w:rFonts w:ascii="Tahoma" w:hAnsi="Tahoma" w:cs="Tahoma"/>
          <w:color w:val="404040"/>
        </w:rPr>
        <w:t xml:space="preserve"> not of itself suggest that use would not be required</w:t>
      </w:r>
    </w:p>
    <w:p w14:paraId="1566D35C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  <w:r>
        <w:rPr>
          <w:rFonts w:ascii="Tahoma" w:hAnsi="Tahoma" w:cs="Tahoma"/>
          <w:color w:val="404040"/>
        </w:rPr>
        <w:t>for genuinely incidental purposes.”</w:t>
      </w:r>
    </w:p>
    <w:p w14:paraId="24C721A7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404040"/>
        </w:rPr>
      </w:pPr>
    </w:p>
    <w:p w14:paraId="0662C41C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The proposed size of the </w:t>
      </w:r>
      <w:r w:rsidR="00FC7EEF">
        <w:rPr>
          <w:rFonts w:ascii="Tahoma" w:hAnsi="Tahoma" w:cs="Tahoma"/>
        </w:rPr>
        <w:t>outbuilding</w:t>
      </w:r>
      <w:r>
        <w:rPr>
          <w:rFonts w:ascii="Tahoma" w:hAnsi="Tahoma" w:cs="Tahoma"/>
        </w:rPr>
        <w:t xml:space="preserve"> reflects its intended purpose and could not reasonably be described as excessive.</w:t>
      </w:r>
    </w:p>
    <w:p w14:paraId="160A21BE" w14:textId="77777777" w:rsid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1DBD3903" w14:textId="77777777" w:rsidR="002634A7" w:rsidRP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For these reasons, the applicant respectfully requests that the certificate of lawfulness be issued.</w:t>
      </w:r>
    </w:p>
    <w:p w14:paraId="7F40EA66" w14:textId="77777777" w:rsidR="002634A7" w:rsidRPr="002634A7" w:rsidRDefault="002634A7" w:rsidP="002634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sectPr w:rsidR="002634A7" w:rsidRPr="00263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altName w:val="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D50DB4"/>
    <w:multiLevelType w:val="hybridMultilevel"/>
    <w:tmpl w:val="4AC82DFE"/>
    <w:lvl w:ilvl="0" w:tplc="B6E26EB4">
      <w:start w:val="10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015"/>
    <w:rsid w:val="00010E03"/>
    <w:rsid w:val="000165D0"/>
    <w:rsid w:val="00022E96"/>
    <w:rsid w:val="000359A3"/>
    <w:rsid w:val="00040D00"/>
    <w:rsid w:val="00051AD8"/>
    <w:rsid w:val="00064FDD"/>
    <w:rsid w:val="000650FD"/>
    <w:rsid w:val="00076015"/>
    <w:rsid w:val="00077D85"/>
    <w:rsid w:val="000800E5"/>
    <w:rsid w:val="000A6E72"/>
    <w:rsid w:val="000B163B"/>
    <w:rsid w:val="000B4E10"/>
    <w:rsid w:val="000F0D59"/>
    <w:rsid w:val="001133F6"/>
    <w:rsid w:val="00116CB3"/>
    <w:rsid w:val="00130B58"/>
    <w:rsid w:val="001328F3"/>
    <w:rsid w:val="00140B63"/>
    <w:rsid w:val="00141B04"/>
    <w:rsid w:val="00141EE1"/>
    <w:rsid w:val="001473BE"/>
    <w:rsid w:val="00155FB6"/>
    <w:rsid w:val="00164028"/>
    <w:rsid w:val="00164156"/>
    <w:rsid w:val="00165F1C"/>
    <w:rsid w:val="00175FC4"/>
    <w:rsid w:val="00176C70"/>
    <w:rsid w:val="00181399"/>
    <w:rsid w:val="001B3502"/>
    <w:rsid w:val="001C087F"/>
    <w:rsid w:val="001C2EAC"/>
    <w:rsid w:val="001C674B"/>
    <w:rsid w:val="00204F9A"/>
    <w:rsid w:val="00215A57"/>
    <w:rsid w:val="00220078"/>
    <w:rsid w:val="00227399"/>
    <w:rsid w:val="00235359"/>
    <w:rsid w:val="002371D6"/>
    <w:rsid w:val="00250C60"/>
    <w:rsid w:val="00261A12"/>
    <w:rsid w:val="002634A7"/>
    <w:rsid w:val="00282ED6"/>
    <w:rsid w:val="00286544"/>
    <w:rsid w:val="002874AD"/>
    <w:rsid w:val="002A58FD"/>
    <w:rsid w:val="002C3526"/>
    <w:rsid w:val="002F1C63"/>
    <w:rsid w:val="002F4CFF"/>
    <w:rsid w:val="00313D1C"/>
    <w:rsid w:val="00316182"/>
    <w:rsid w:val="003227EF"/>
    <w:rsid w:val="00337061"/>
    <w:rsid w:val="00345212"/>
    <w:rsid w:val="003508A9"/>
    <w:rsid w:val="00351E65"/>
    <w:rsid w:val="00353517"/>
    <w:rsid w:val="0035430E"/>
    <w:rsid w:val="00375CE8"/>
    <w:rsid w:val="003810DD"/>
    <w:rsid w:val="003B7E8B"/>
    <w:rsid w:val="003D3000"/>
    <w:rsid w:val="003D47CF"/>
    <w:rsid w:val="003E43EC"/>
    <w:rsid w:val="003E7696"/>
    <w:rsid w:val="003F2A00"/>
    <w:rsid w:val="00420BD5"/>
    <w:rsid w:val="00443DCB"/>
    <w:rsid w:val="00464BC9"/>
    <w:rsid w:val="00483A4A"/>
    <w:rsid w:val="00484B73"/>
    <w:rsid w:val="004861C1"/>
    <w:rsid w:val="004907F7"/>
    <w:rsid w:val="00491EC9"/>
    <w:rsid w:val="004C0EDA"/>
    <w:rsid w:val="004C4CA0"/>
    <w:rsid w:val="00505601"/>
    <w:rsid w:val="00513959"/>
    <w:rsid w:val="005148F3"/>
    <w:rsid w:val="005243DC"/>
    <w:rsid w:val="0054059D"/>
    <w:rsid w:val="00543145"/>
    <w:rsid w:val="00546420"/>
    <w:rsid w:val="005641FD"/>
    <w:rsid w:val="00576457"/>
    <w:rsid w:val="005877B1"/>
    <w:rsid w:val="005B0833"/>
    <w:rsid w:val="005D645B"/>
    <w:rsid w:val="005E06EA"/>
    <w:rsid w:val="005E30CF"/>
    <w:rsid w:val="005F7B2C"/>
    <w:rsid w:val="005F7BDF"/>
    <w:rsid w:val="00602A3B"/>
    <w:rsid w:val="00617D3F"/>
    <w:rsid w:val="00632CCB"/>
    <w:rsid w:val="00636CF4"/>
    <w:rsid w:val="00680E4A"/>
    <w:rsid w:val="00684389"/>
    <w:rsid w:val="006A13D7"/>
    <w:rsid w:val="006A18F4"/>
    <w:rsid w:val="006A3B66"/>
    <w:rsid w:val="006A4060"/>
    <w:rsid w:val="006A51F3"/>
    <w:rsid w:val="006A69DE"/>
    <w:rsid w:val="006B7B7E"/>
    <w:rsid w:val="006D101F"/>
    <w:rsid w:val="006E1F82"/>
    <w:rsid w:val="006F43E3"/>
    <w:rsid w:val="006F46A8"/>
    <w:rsid w:val="006F732D"/>
    <w:rsid w:val="007112ED"/>
    <w:rsid w:val="007223B0"/>
    <w:rsid w:val="00732441"/>
    <w:rsid w:val="00733559"/>
    <w:rsid w:val="0073490E"/>
    <w:rsid w:val="0074310A"/>
    <w:rsid w:val="00743818"/>
    <w:rsid w:val="00756BA8"/>
    <w:rsid w:val="00762926"/>
    <w:rsid w:val="00767F11"/>
    <w:rsid w:val="007836B8"/>
    <w:rsid w:val="00785E39"/>
    <w:rsid w:val="007B148D"/>
    <w:rsid w:val="007B3E62"/>
    <w:rsid w:val="007C2FEE"/>
    <w:rsid w:val="007C4EA1"/>
    <w:rsid w:val="007D61C1"/>
    <w:rsid w:val="007E2050"/>
    <w:rsid w:val="007E2DB1"/>
    <w:rsid w:val="007E4DD1"/>
    <w:rsid w:val="008029CA"/>
    <w:rsid w:val="00812009"/>
    <w:rsid w:val="00812493"/>
    <w:rsid w:val="00823D20"/>
    <w:rsid w:val="00823FA2"/>
    <w:rsid w:val="00834DFC"/>
    <w:rsid w:val="00836CCE"/>
    <w:rsid w:val="008508D9"/>
    <w:rsid w:val="00881257"/>
    <w:rsid w:val="00887680"/>
    <w:rsid w:val="00891EE3"/>
    <w:rsid w:val="0089423F"/>
    <w:rsid w:val="008B6376"/>
    <w:rsid w:val="008B6423"/>
    <w:rsid w:val="008C5DFE"/>
    <w:rsid w:val="008D7324"/>
    <w:rsid w:val="008E68F4"/>
    <w:rsid w:val="0090408F"/>
    <w:rsid w:val="0092624A"/>
    <w:rsid w:val="00933FCF"/>
    <w:rsid w:val="00947F6C"/>
    <w:rsid w:val="0096224F"/>
    <w:rsid w:val="0096535C"/>
    <w:rsid w:val="00984F8E"/>
    <w:rsid w:val="0098577E"/>
    <w:rsid w:val="009B402F"/>
    <w:rsid w:val="009C15B7"/>
    <w:rsid w:val="009C5206"/>
    <w:rsid w:val="009C6AA8"/>
    <w:rsid w:val="009F1934"/>
    <w:rsid w:val="009F2332"/>
    <w:rsid w:val="00A362D5"/>
    <w:rsid w:val="00A46D94"/>
    <w:rsid w:val="00A4794F"/>
    <w:rsid w:val="00A5035D"/>
    <w:rsid w:val="00A509EA"/>
    <w:rsid w:val="00A565C1"/>
    <w:rsid w:val="00A611E9"/>
    <w:rsid w:val="00A8721C"/>
    <w:rsid w:val="00AA14DB"/>
    <w:rsid w:val="00AB1C06"/>
    <w:rsid w:val="00AB4AED"/>
    <w:rsid w:val="00AB6F81"/>
    <w:rsid w:val="00AD43ED"/>
    <w:rsid w:val="00AD5B65"/>
    <w:rsid w:val="00AE1B82"/>
    <w:rsid w:val="00AE31A1"/>
    <w:rsid w:val="00AF1736"/>
    <w:rsid w:val="00B15AEF"/>
    <w:rsid w:val="00B37400"/>
    <w:rsid w:val="00B55F28"/>
    <w:rsid w:val="00B627D6"/>
    <w:rsid w:val="00B65A86"/>
    <w:rsid w:val="00B71006"/>
    <w:rsid w:val="00B77193"/>
    <w:rsid w:val="00B94F2C"/>
    <w:rsid w:val="00B96F04"/>
    <w:rsid w:val="00BA10CC"/>
    <w:rsid w:val="00BA49DC"/>
    <w:rsid w:val="00BB3CB8"/>
    <w:rsid w:val="00BC5E2F"/>
    <w:rsid w:val="00BE43C3"/>
    <w:rsid w:val="00BE5496"/>
    <w:rsid w:val="00BE6E20"/>
    <w:rsid w:val="00BF597A"/>
    <w:rsid w:val="00BF7570"/>
    <w:rsid w:val="00C1142A"/>
    <w:rsid w:val="00C25FBD"/>
    <w:rsid w:val="00C32C93"/>
    <w:rsid w:val="00C36CB8"/>
    <w:rsid w:val="00C44198"/>
    <w:rsid w:val="00C52615"/>
    <w:rsid w:val="00C61D4F"/>
    <w:rsid w:val="00C815A0"/>
    <w:rsid w:val="00C93BCC"/>
    <w:rsid w:val="00CA1588"/>
    <w:rsid w:val="00CC0B18"/>
    <w:rsid w:val="00CC3C80"/>
    <w:rsid w:val="00CC53E1"/>
    <w:rsid w:val="00CD1827"/>
    <w:rsid w:val="00CD720E"/>
    <w:rsid w:val="00CF4862"/>
    <w:rsid w:val="00D14A7C"/>
    <w:rsid w:val="00D164B3"/>
    <w:rsid w:val="00D26F9A"/>
    <w:rsid w:val="00D35229"/>
    <w:rsid w:val="00D45324"/>
    <w:rsid w:val="00D66509"/>
    <w:rsid w:val="00D909D9"/>
    <w:rsid w:val="00D92E75"/>
    <w:rsid w:val="00DB39A3"/>
    <w:rsid w:val="00DB599B"/>
    <w:rsid w:val="00DD67CB"/>
    <w:rsid w:val="00DD7EDE"/>
    <w:rsid w:val="00DF05C5"/>
    <w:rsid w:val="00DF6044"/>
    <w:rsid w:val="00E25E29"/>
    <w:rsid w:val="00E44C66"/>
    <w:rsid w:val="00E54F0F"/>
    <w:rsid w:val="00E6323F"/>
    <w:rsid w:val="00E726D9"/>
    <w:rsid w:val="00E766D8"/>
    <w:rsid w:val="00E95154"/>
    <w:rsid w:val="00EA2164"/>
    <w:rsid w:val="00EA320B"/>
    <w:rsid w:val="00EA5435"/>
    <w:rsid w:val="00EA650F"/>
    <w:rsid w:val="00EC7C55"/>
    <w:rsid w:val="00ED2CF9"/>
    <w:rsid w:val="00ED761E"/>
    <w:rsid w:val="00ED7C2C"/>
    <w:rsid w:val="00EE45D6"/>
    <w:rsid w:val="00EF0859"/>
    <w:rsid w:val="00EF5ED0"/>
    <w:rsid w:val="00F20A0A"/>
    <w:rsid w:val="00F23484"/>
    <w:rsid w:val="00F34987"/>
    <w:rsid w:val="00F4402F"/>
    <w:rsid w:val="00F56FE1"/>
    <w:rsid w:val="00F64CEB"/>
    <w:rsid w:val="00F67A41"/>
    <w:rsid w:val="00F85A31"/>
    <w:rsid w:val="00F97984"/>
    <w:rsid w:val="00FB76F3"/>
    <w:rsid w:val="00FC4820"/>
    <w:rsid w:val="00FC7EEF"/>
    <w:rsid w:val="00FE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FE513"/>
  <w15:chartTrackingRefBased/>
  <w15:docId w15:val="{4081637F-5D39-4563-B655-A870CE35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1525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</dc:creator>
  <cp:keywords/>
  <dc:description/>
  <cp:lastModifiedBy>Elaine Kimber</cp:lastModifiedBy>
  <cp:revision>2</cp:revision>
  <dcterms:created xsi:type="dcterms:W3CDTF">2020-05-04T10:56:00Z</dcterms:created>
  <dcterms:modified xsi:type="dcterms:W3CDTF">2020-05-04T10:56:00Z</dcterms:modified>
</cp:coreProperties>
</file>