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FCF" w:rsidRDefault="008C5FCF" w:rsidP="008C5FCF">
      <w:pPr>
        <w:shd w:val="clear" w:color="auto" w:fill="FFFFFF"/>
        <w:spacing w:after="240" w:line="360" w:lineRule="atLeast"/>
        <w:outlineLvl w:val="1"/>
        <w:rPr>
          <w:rFonts w:ascii="Arial" w:eastAsia="Times New Roman" w:hAnsi="Arial" w:cs="Arial"/>
          <w:b/>
          <w:bCs/>
          <w:color w:val="808C64"/>
          <w:sz w:val="29"/>
          <w:szCs w:val="29"/>
          <w:lang w:eastAsia="en-GB"/>
        </w:rPr>
      </w:pPr>
      <w:r>
        <w:rPr>
          <w:noProof/>
          <w:lang w:eastAsia="en-GB"/>
        </w:rPr>
        <w:drawing>
          <wp:inline distT="0" distB="0" distL="0" distR="0" wp14:anchorId="630E901F" wp14:editId="40BBDF10">
            <wp:extent cx="4286250" cy="2857500"/>
            <wp:effectExtent l="0" t="0" r="0" b="0"/>
            <wp:docPr id="2" name="Picture 2" descr="Produc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duct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p w:rsidR="008C5FCF" w:rsidRDefault="008C5FCF" w:rsidP="008C5FCF">
      <w:pPr>
        <w:shd w:val="clear" w:color="auto" w:fill="FFFFFF"/>
        <w:spacing w:after="240" w:line="360" w:lineRule="atLeast"/>
        <w:outlineLvl w:val="1"/>
        <w:rPr>
          <w:rFonts w:ascii="Arial" w:eastAsia="Times New Roman" w:hAnsi="Arial" w:cs="Arial"/>
          <w:b/>
          <w:bCs/>
          <w:color w:val="808C64"/>
          <w:sz w:val="29"/>
          <w:szCs w:val="29"/>
          <w:lang w:eastAsia="en-GB"/>
        </w:rPr>
      </w:pPr>
    </w:p>
    <w:p w:rsidR="008C5FCF" w:rsidRPr="008C5FCF" w:rsidRDefault="008C5FCF" w:rsidP="008C5FCF">
      <w:pPr>
        <w:shd w:val="clear" w:color="auto" w:fill="FFFFFF"/>
        <w:spacing w:after="240" w:line="360" w:lineRule="atLeast"/>
        <w:outlineLvl w:val="1"/>
        <w:rPr>
          <w:rFonts w:ascii="Arial" w:eastAsia="Times New Roman" w:hAnsi="Arial" w:cs="Arial"/>
          <w:b/>
          <w:bCs/>
          <w:color w:val="808C64"/>
          <w:sz w:val="29"/>
          <w:szCs w:val="29"/>
          <w:lang w:eastAsia="en-GB"/>
        </w:rPr>
      </w:pPr>
      <w:r w:rsidRPr="008C5FCF">
        <w:rPr>
          <w:rFonts w:ascii="Arial" w:eastAsia="Times New Roman" w:hAnsi="Arial" w:cs="Arial"/>
          <w:b/>
          <w:bCs/>
          <w:color w:val="808C64"/>
          <w:sz w:val="29"/>
          <w:szCs w:val="29"/>
          <w:lang w:eastAsia="en-GB"/>
        </w:rPr>
        <w:t>Features</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Unique and Patented Design</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Spring-Assisted Opening Action</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Maintenance-Free</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25 Year Panel Guarantee</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PVC-Coated Galvanised Steel Construction</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Fire-Resistant</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Simple, Rapid Construction</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Clear Step by Step Instructions</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Range of Accessories</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Complete "WALK IN" Access</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Two Padlock Points as Standard (4 MAX)</w:t>
      </w:r>
    </w:p>
    <w:p w:rsidR="008C5FCF" w:rsidRPr="008C5FCF" w:rsidRDefault="008C5FCF" w:rsidP="008C5FCF">
      <w:pPr>
        <w:numPr>
          <w:ilvl w:val="0"/>
          <w:numId w:val="1"/>
        </w:numPr>
        <w:shd w:val="clear" w:color="auto" w:fill="FFFFFF"/>
        <w:spacing w:before="100" w:beforeAutospacing="1" w:after="100" w:afterAutospacing="1" w:line="312" w:lineRule="atLeast"/>
        <w:ind w:left="0"/>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A new version is available with wood-effect finish</w:t>
      </w:r>
    </w:p>
    <w:p w:rsidR="008C5FCF" w:rsidRPr="008C5FCF" w:rsidRDefault="008C5FCF" w:rsidP="008C5FCF">
      <w:pPr>
        <w:shd w:val="clear" w:color="auto" w:fill="FFFFFF"/>
        <w:spacing w:after="240" w:line="360" w:lineRule="atLeast"/>
        <w:outlineLvl w:val="1"/>
        <w:rPr>
          <w:rFonts w:ascii="Arial" w:eastAsia="Times New Roman" w:hAnsi="Arial" w:cs="Arial"/>
          <w:b/>
          <w:bCs/>
          <w:color w:val="808C64"/>
          <w:sz w:val="29"/>
          <w:szCs w:val="29"/>
          <w:lang w:eastAsia="en-GB"/>
        </w:rPr>
      </w:pPr>
      <w:r w:rsidRPr="008C5FCF">
        <w:rPr>
          <w:rFonts w:ascii="Arial" w:eastAsia="Times New Roman" w:hAnsi="Arial" w:cs="Arial"/>
          <w:b/>
          <w:bCs/>
          <w:color w:val="808C64"/>
          <w:sz w:val="29"/>
          <w:szCs w:val="29"/>
          <w:lang w:eastAsia="en-GB"/>
        </w:rPr>
        <w:t>Description</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 xml:space="preserve">The </w:t>
      </w:r>
      <w:proofErr w:type="spellStart"/>
      <w:r w:rsidRPr="008C5FCF">
        <w:rPr>
          <w:rFonts w:ascii="Arial" w:eastAsia="Times New Roman" w:hAnsi="Arial" w:cs="Arial"/>
          <w:color w:val="000000"/>
          <w:sz w:val="24"/>
          <w:szCs w:val="24"/>
          <w:lang w:eastAsia="en-GB"/>
        </w:rPr>
        <w:t>Storeguard</w:t>
      </w:r>
      <w:proofErr w:type="spellEnd"/>
      <w:r w:rsidRPr="008C5FCF">
        <w:rPr>
          <w:rFonts w:ascii="Arial" w:eastAsia="Times New Roman" w:hAnsi="Arial" w:cs="Arial"/>
          <w:color w:val="000000"/>
          <w:sz w:val="24"/>
          <w:szCs w:val="24"/>
          <w:lang w:eastAsia="en-GB"/>
        </w:rPr>
        <w:t xml:space="preserve"> is the largest of the dedicated garden storage units (although the Bicycle Store is larger) and is ideal for storing a large quantity of garden equipment.</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Can be supplied in a choice of two tone green, cream, anthracite or wood effect.</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Due to its size this is the most popular unit in the range and it is available with a range of accessories including exterior grade wooden floor, shelving, padlocks and hasp and padlock sets.</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lastRenderedPageBreak/>
        <w:t xml:space="preserve">The </w:t>
      </w:r>
      <w:proofErr w:type="spellStart"/>
      <w:r w:rsidRPr="008C5FCF">
        <w:rPr>
          <w:rFonts w:ascii="Arial" w:eastAsia="Times New Roman" w:hAnsi="Arial" w:cs="Arial"/>
          <w:color w:val="000000"/>
          <w:sz w:val="24"/>
          <w:szCs w:val="24"/>
          <w:lang w:eastAsia="en-GB"/>
        </w:rPr>
        <w:t>Storeguard</w:t>
      </w:r>
      <w:proofErr w:type="spellEnd"/>
      <w:r w:rsidRPr="008C5FCF">
        <w:rPr>
          <w:rFonts w:ascii="Arial" w:eastAsia="Times New Roman" w:hAnsi="Arial" w:cs="Arial"/>
          <w:color w:val="000000"/>
          <w:sz w:val="24"/>
          <w:szCs w:val="24"/>
          <w:lang w:eastAsia="en-GB"/>
        </w:rPr>
        <w:t xml:space="preserve"> is supplied in a convenient flat pack and is extremely simple to construct as all major components are factory assembled for you, they come complete with all necessary fixings and easy to follow illustrated assembly instructions.</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 xml:space="preserve">The </w:t>
      </w:r>
      <w:proofErr w:type="spellStart"/>
      <w:r w:rsidRPr="008C5FCF">
        <w:rPr>
          <w:rFonts w:ascii="Arial" w:eastAsia="Times New Roman" w:hAnsi="Arial" w:cs="Arial"/>
          <w:color w:val="000000"/>
          <w:sz w:val="24"/>
          <w:szCs w:val="24"/>
          <w:lang w:eastAsia="en-GB"/>
        </w:rPr>
        <w:t>Storeguard</w:t>
      </w:r>
      <w:proofErr w:type="spellEnd"/>
      <w:r w:rsidRPr="008C5FCF">
        <w:rPr>
          <w:rFonts w:ascii="Arial" w:eastAsia="Times New Roman" w:hAnsi="Arial" w:cs="Arial"/>
          <w:color w:val="000000"/>
          <w:sz w:val="24"/>
          <w:szCs w:val="24"/>
          <w:lang w:eastAsia="en-GB"/>
        </w:rPr>
        <w:t xml:space="preserve"> storage box is perfect for siting on both garden lawns and patios.</w:t>
      </w:r>
    </w:p>
    <w:p w:rsidR="008C5FCF" w:rsidRPr="008C5FCF" w:rsidRDefault="008C5FCF" w:rsidP="008C5FCF">
      <w:pPr>
        <w:shd w:val="clear" w:color="auto" w:fill="FFFFFF"/>
        <w:spacing w:after="0" w:line="240" w:lineRule="auto"/>
        <w:rPr>
          <w:rFonts w:ascii="Arial" w:eastAsia="Times New Roman" w:hAnsi="Arial" w:cs="Arial"/>
          <w:color w:val="666666"/>
          <w:sz w:val="24"/>
          <w:szCs w:val="24"/>
          <w:lang w:eastAsia="en-GB"/>
        </w:rPr>
      </w:pPr>
      <w:r w:rsidRPr="008C5FCF">
        <w:rPr>
          <w:rFonts w:ascii="Arial" w:eastAsia="Times New Roman" w:hAnsi="Arial" w:cs="Arial"/>
          <w:color w:val="666666"/>
          <w:sz w:val="24"/>
          <w:szCs w:val="24"/>
          <w:lang w:eastAsia="en-GB"/>
        </w:rPr>
        <w:t> </w:t>
      </w:r>
    </w:p>
    <w:p w:rsidR="008C5FCF" w:rsidRPr="008C5FCF" w:rsidRDefault="008C5FCF" w:rsidP="008C5FCF">
      <w:pPr>
        <w:shd w:val="clear" w:color="auto" w:fill="FFFFFF"/>
        <w:spacing w:after="240" w:line="360" w:lineRule="atLeast"/>
        <w:outlineLvl w:val="1"/>
        <w:rPr>
          <w:rFonts w:ascii="Arial" w:eastAsia="Times New Roman" w:hAnsi="Arial" w:cs="Arial"/>
          <w:b/>
          <w:bCs/>
          <w:color w:val="808C64"/>
          <w:sz w:val="29"/>
          <w:szCs w:val="29"/>
          <w:lang w:eastAsia="en-GB"/>
        </w:rPr>
      </w:pPr>
      <w:r w:rsidRPr="008C5FCF">
        <w:rPr>
          <w:rFonts w:ascii="Arial" w:eastAsia="Times New Roman" w:hAnsi="Arial" w:cs="Arial"/>
          <w:b/>
          <w:bCs/>
          <w:color w:val="808C64"/>
          <w:sz w:val="29"/>
          <w:szCs w:val="29"/>
          <w:lang w:eastAsia="en-GB"/>
        </w:rPr>
        <w:t>Dimensions</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b/>
          <w:bCs/>
          <w:color w:val="000000"/>
          <w:sz w:val="24"/>
          <w:szCs w:val="24"/>
          <w:lang w:eastAsia="en-GB"/>
        </w:rPr>
        <w:t>Internal Dimensions in Metric (Metres)</w:t>
      </w:r>
    </w:p>
    <w:tbl>
      <w:tblPr>
        <w:tblW w:w="4290" w:type="dxa"/>
        <w:tblCellMar>
          <w:top w:w="15" w:type="dxa"/>
          <w:left w:w="15" w:type="dxa"/>
          <w:bottom w:w="15" w:type="dxa"/>
          <w:right w:w="15" w:type="dxa"/>
        </w:tblCellMar>
        <w:tblLook w:val="04A0" w:firstRow="1" w:lastRow="0" w:firstColumn="1" w:lastColumn="0" w:noHBand="0" w:noVBand="1"/>
      </w:tblPr>
      <w:tblGrid>
        <w:gridCol w:w="3179"/>
        <w:gridCol w:w="1111"/>
      </w:tblGrid>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Height (front)</w:t>
            </w:r>
          </w:p>
        </w:tc>
        <w:tc>
          <w:tcPr>
            <w:tcW w:w="0" w:type="auto"/>
            <w:shd w:val="clear" w:color="auto" w:fill="B8C78C"/>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0.89</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Height (back)</w:t>
            </w:r>
          </w:p>
        </w:tc>
        <w:tc>
          <w:tcPr>
            <w:tcW w:w="0" w:type="auto"/>
            <w:shd w:val="clear" w:color="auto" w:fill="F0F5DF"/>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1.09</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Width</w:t>
            </w:r>
          </w:p>
        </w:tc>
        <w:tc>
          <w:tcPr>
            <w:tcW w:w="0" w:type="auto"/>
            <w:shd w:val="clear" w:color="auto" w:fill="B8C78C"/>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1.80</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Depth</w:t>
            </w:r>
          </w:p>
        </w:tc>
        <w:tc>
          <w:tcPr>
            <w:tcW w:w="0" w:type="auto"/>
            <w:shd w:val="clear" w:color="auto" w:fill="F0F5DF"/>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0.84</w:t>
            </w:r>
          </w:p>
        </w:tc>
      </w:tr>
    </w:tbl>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b/>
          <w:bCs/>
          <w:color w:val="000000"/>
          <w:sz w:val="24"/>
          <w:szCs w:val="24"/>
          <w:lang w:eastAsia="en-GB"/>
        </w:rPr>
        <w:t>External Dimensions in Metric (Metres)</w:t>
      </w:r>
    </w:p>
    <w:tbl>
      <w:tblPr>
        <w:tblW w:w="4290" w:type="dxa"/>
        <w:tblCellMar>
          <w:top w:w="15" w:type="dxa"/>
          <w:left w:w="15" w:type="dxa"/>
          <w:bottom w:w="15" w:type="dxa"/>
          <w:right w:w="15" w:type="dxa"/>
        </w:tblCellMar>
        <w:tblLook w:val="04A0" w:firstRow="1" w:lastRow="0" w:firstColumn="1" w:lastColumn="0" w:noHBand="0" w:noVBand="1"/>
      </w:tblPr>
      <w:tblGrid>
        <w:gridCol w:w="2596"/>
        <w:gridCol w:w="1694"/>
      </w:tblGrid>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Height</w:t>
            </w:r>
          </w:p>
        </w:tc>
        <w:tc>
          <w:tcPr>
            <w:tcW w:w="0" w:type="auto"/>
            <w:shd w:val="clear" w:color="auto" w:fill="B8C78C"/>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1.13</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Width</w:t>
            </w:r>
          </w:p>
        </w:tc>
        <w:tc>
          <w:tcPr>
            <w:tcW w:w="0" w:type="auto"/>
            <w:shd w:val="clear" w:color="auto" w:fill="F0F5DF"/>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1.96</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Depth</w:t>
            </w:r>
          </w:p>
        </w:tc>
        <w:tc>
          <w:tcPr>
            <w:tcW w:w="0" w:type="auto"/>
            <w:shd w:val="clear" w:color="auto" w:fill="B8C78C"/>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0.89</w:t>
            </w:r>
          </w:p>
        </w:tc>
      </w:tr>
      <w:tr w:rsidR="008C5FCF" w:rsidRPr="008C5FCF" w:rsidTr="008C5FCF">
        <w:tc>
          <w:tcPr>
            <w:tcW w:w="0" w:type="auto"/>
            <w:shd w:val="clear" w:color="auto" w:fill="A2B76A"/>
            <w:tcMar>
              <w:top w:w="120" w:type="dxa"/>
              <w:left w:w="120" w:type="dxa"/>
              <w:bottom w:w="120" w:type="dxa"/>
              <w:right w:w="120"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b/>
                <w:bCs/>
                <w:color w:val="333333"/>
                <w:sz w:val="23"/>
                <w:szCs w:val="23"/>
                <w:lang w:eastAsia="en-GB"/>
              </w:rPr>
            </w:pPr>
            <w:r w:rsidRPr="008C5FCF">
              <w:rPr>
                <w:rFonts w:ascii="Times New Roman" w:eastAsia="Times New Roman" w:hAnsi="Times New Roman" w:cs="Times New Roman"/>
                <w:b/>
                <w:bCs/>
                <w:color w:val="333333"/>
                <w:sz w:val="23"/>
                <w:szCs w:val="23"/>
                <w:lang w:eastAsia="en-GB"/>
              </w:rPr>
              <w:t>Weight</w:t>
            </w:r>
          </w:p>
        </w:tc>
        <w:tc>
          <w:tcPr>
            <w:tcW w:w="0" w:type="auto"/>
            <w:shd w:val="clear" w:color="auto" w:fill="F0F5DF"/>
            <w:tcMar>
              <w:top w:w="72" w:type="dxa"/>
              <w:left w:w="72" w:type="dxa"/>
              <w:bottom w:w="72" w:type="dxa"/>
              <w:right w:w="72" w:type="dxa"/>
            </w:tcMar>
            <w:vAlign w:val="center"/>
            <w:hideMark/>
          </w:tcPr>
          <w:p w:rsidR="008C5FCF" w:rsidRPr="008C5FCF" w:rsidRDefault="008C5FCF" w:rsidP="008C5FCF">
            <w:pPr>
              <w:spacing w:after="150" w:line="240" w:lineRule="auto"/>
              <w:jc w:val="center"/>
              <w:rPr>
                <w:rFonts w:ascii="Times New Roman" w:eastAsia="Times New Roman" w:hAnsi="Times New Roman" w:cs="Times New Roman"/>
                <w:color w:val="333333"/>
                <w:sz w:val="24"/>
                <w:szCs w:val="24"/>
                <w:lang w:eastAsia="en-GB"/>
              </w:rPr>
            </w:pPr>
            <w:r w:rsidRPr="008C5FCF">
              <w:rPr>
                <w:rFonts w:ascii="Times New Roman" w:eastAsia="Times New Roman" w:hAnsi="Times New Roman" w:cs="Times New Roman"/>
                <w:color w:val="333333"/>
                <w:sz w:val="24"/>
                <w:szCs w:val="24"/>
                <w:lang w:eastAsia="en-GB"/>
              </w:rPr>
              <w:t>52kg</w:t>
            </w:r>
          </w:p>
        </w:tc>
      </w:tr>
    </w:tbl>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color w:val="000000"/>
          <w:sz w:val="24"/>
          <w:szCs w:val="24"/>
          <w:lang w:eastAsia="en-GB"/>
        </w:rPr>
        <w:t> </w:t>
      </w:r>
    </w:p>
    <w:p w:rsidR="008C5FCF" w:rsidRPr="008C5FCF" w:rsidRDefault="008C5FCF" w:rsidP="008C5FCF">
      <w:pPr>
        <w:shd w:val="clear" w:color="auto" w:fill="FFFFFF"/>
        <w:spacing w:after="240" w:line="360" w:lineRule="atLeast"/>
        <w:rPr>
          <w:rFonts w:ascii="Arial" w:eastAsia="Times New Roman" w:hAnsi="Arial" w:cs="Arial"/>
          <w:color w:val="000000"/>
          <w:sz w:val="24"/>
          <w:szCs w:val="24"/>
          <w:lang w:eastAsia="en-GB"/>
        </w:rPr>
      </w:pPr>
      <w:r w:rsidRPr="008C5FCF">
        <w:rPr>
          <w:rFonts w:ascii="Arial" w:eastAsia="Times New Roman" w:hAnsi="Arial" w:cs="Arial"/>
          <w:noProof/>
          <w:color w:val="000000"/>
          <w:sz w:val="24"/>
          <w:szCs w:val="24"/>
          <w:lang w:eastAsia="en-GB"/>
        </w:rPr>
        <w:drawing>
          <wp:inline distT="0" distB="0" distL="0" distR="0">
            <wp:extent cx="1905000" cy="1752600"/>
            <wp:effectExtent l="0" t="0" r="0" b="0"/>
            <wp:docPr id="1" name="Picture 1" descr="https://www.trimetals.co.uk/wp-content/uploads/2016/02/open-sto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rimetals.co.uk/wp-content/uploads/2016/02/open-store.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752600"/>
                    </a:xfrm>
                    <a:prstGeom prst="rect">
                      <a:avLst/>
                    </a:prstGeom>
                    <a:noFill/>
                    <a:ln>
                      <a:noFill/>
                    </a:ln>
                  </pic:spPr>
                </pic:pic>
              </a:graphicData>
            </a:graphic>
          </wp:inline>
        </w:drawing>
      </w:r>
    </w:p>
    <w:p w:rsidR="008C5FCF" w:rsidRDefault="008C5FCF">
      <w:bookmarkStart w:id="0" w:name="_GoBack"/>
      <w:bookmarkEnd w:id="0"/>
    </w:p>
    <w:sectPr w:rsidR="008C5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1510A"/>
    <w:multiLevelType w:val="multilevel"/>
    <w:tmpl w:val="89D2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CF"/>
    <w:rsid w:val="0078761F"/>
    <w:rsid w:val="008C5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8EE06-255C-4D96-A5FC-F304AD0B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C5FC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5FCF"/>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8C5F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C5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631450">
      <w:bodyDiv w:val="1"/>
      <w:marLeft w:val="0"/>
      <w:marRight w:val="0"/>
      <w:marTop w:val="0"/>
      <w:marBottom w:val="0"/>
      <w:divBdr>
        <w:top w:val="none" w:sz="0" w:space="0" w:color="auto"/>
        <w:left w:val="none" w:sz="0" w:space="0" w:color="auto"/>
        <w:bottom w:val="none" w:sz="0" w:space="0" w:color="auto"/>
        <w:right w:val="none" w:sz="0" w:space="0" w:color="auto"/>
      </w:divBdr>
      <w:divsChild>
        <w:div w:id="1676030376">
          <w:marLeft w:val="0"/>
          <w:marRight w:val="0"/>
          <w:marTop w:val="0"/>
          <w:marBottom w:val="0"/>
          <w:divBdr>
            <w:top w:val="none" w:sz="0" w:space="0" w:color="auto"/>
            <w:left w:val="none" w:sz="0" w:space="0" w:color="auto"/>
            <w:bottom w:val="none" w:sz="0" w:space="0" w:color="auto"/>
            <w:right w:val="none" w:sz="0" w:space="0" w:color="auto"/>
          </w:divBdr>
        </w:div>
        <w:div w:id="1565750920">
          <w:marLeft w:val="0"/>
          <w:marRight w:val="0"/>
          <w:marTop w:val="0"/>
          <w:marBottom w:val="0"/>
          <w:divBdr>
            <w:top w:val="none" w:sz="0" w:space="0" w:color="auto"/>
            <w:left w:val="none" w:sz="0" w:space="0" w:color="auto"/>
            <w:bottom w:val="none" w:sz="0" w:space="0" w:color="auto"/>
            <w:right w:val="none" w:sz="0" w:space="0" w:color="auto"/>
          </w:divBdr>
          <w:divsChild>
            <w:div w:id="679354436">
              <w:marLeft w:val="0"/>
              <w:marRight w:val="0"/>
              <w:marTop w:val="0"/>
              <w:marBottom w:val="0"/>
              <w:divBdr>
                <w:top w:val="none" w:sz="0" w:space="0" w:color="auto"/>
                <w:left w:val="none" w:sz="0" w:space="0" w:color="auto"/>
                <w:bottom w:val="none" w:sz="0" w:space="0" w:color="auto"/>
                <w:right w:val="none" w:sz="0" w:space="0" w:color="auto"/>
              </w:divBdr>
              <w:divsChild>
                <w:div w:id="33661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2128">
          <w:marLeft w:val="0"/>
          <w:marRight w:val="0"/>
          <w:marTop w:val="0"/>
          <w:marBottom w:val="0"/>
          <w:divBdr>
            <w:top w:val="none" w:sz="0" w:space="0" w:color="auto"/>
            <w:left w:val="none" w:sz="0" w:space="0" w:color="auto"/>
            <w:bottom w:val="none" w:sz="0" w:space="0" w:color="auto"/>
            <w:right w:val="none" w:sz="0" w:space="0" w:color="auto"/>
          </w:divBdr>
          <w:divsChild>
            <w:div w:id="13701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c:creator>
  <cp:keywords/>
  <dc:description/>
  <cp:lastModifiedBy>J</cp:lastModifiedBy>
  <cp:revision>1</cp:revision>
  <dcterms:created xsi:type="dcterms:W3CDTF">2017-12-05T09:36:00Z</dcterms:created>
  <dcterms:modified xsi:type="dcterms:W3CDTF">2017-12-05T09:42:00Z</dcterms:modified>
</cp:coreProperties>
</file>