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b/>
          <w:bCs/>
          <w:color w:val="000000"/>
          <w:sz w:val="36"/>
          <w:szCs w:val="36"/>
          <w:u w:val="single"/>
          <w:lang w:eastAsia="en-GB"/>
        </w:rPr>
        <w:t>P</w:t>
      </w:r>
      <w:r w:rsidRPr="00C212A7">
        <w:rPr>
          <w:rFonts w:ascii="Arial" w:eastAsia="Times New Roman" w:hAnsi="Arial" w:cs="Arial"/>
          <w:b/>
          <w:bCs/>
          <w:color w:val="000000"/>
          <w:sz w:val="28"/>
          <w:szCs w:val="28"/>
          <w:u w:val="single"/>
          <w:lang w:eastAsia="en-GB"/>
        </w:rPr>
        <w:t>re-Commencement Conditions Notice</w:t>
      </w:r>
    </w:p>
    <w:p w:rsidR="00C212A7" w:rsidRPr="00C212A7" w:rsidRDefault="00C212A7" w:rsidP="00C212A7">
      <w:pPr>
        <w:spacing w:after="0" w:line="240" w:lineRule="auto"/>
        <w:rPr>
          <w:rFonts w:ascii="Times New Roman" w:eastAsia="Times New Roman" w:hAnsi="Times New Roman" w:cs="Times New Roman"/>
          <w:sz w:val="24"/>
          <w:szCs w:val="24"/>
          <w:lang w:eastAsia="en-GB"/>
        </w:rPr>
      </w:pPr>
    </w:p>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color w:val="000000"/>
          <w:u w:val="single"/>
          <w:lang w:eastAsia="en-GB"/>
        </w:rPr>
        <w:t xml:space="preserve">Application Ref: </w:t>
      </w:r>
      <w:r w:rsidR="00BC6B75">
        <w:rPr>
          <w:rFonts w:ascii="Arial" w:eastAsia="Times New Roman" w:hAnsi="Arial" w:cs="Arial"/>
          <w:color w:val="000000"/>
          <w:u w:val="single"/>
          <w:lang w:eastAsia="en-GB"/>
        </w:rPr>
        <w:t>21379/APP/2019/769</w:t>
      </w:r>
    </w:p>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color w:val="000000"/>
          <w:u w:val="single"/>
          <w:lang w:eastAsia="en-GB"/>
        </w:rPr>
        <w:t xml:space="preserve">Site Address: </w:t>
      </w:r>
      <w:r w:rsidR="00BC6B75">
        <w:rPr>
          <w:rFonts w:ascii="Arial" w:eastAsia="Times New Roman" w:hAnsi="Arial" w:cs="Arial"/>
          <w:color w:val="000000"/>
          <w:u w:val="single"/>
          <w:lang w:eastAsia="en-GB"/>
        </w:rPr>
        <w:t>23 Meadow Close</w:t>
      </w:r>
    </w:p>
    <w:p w:rsidR="00C212A7" w:rsidRPr="00C212A7" w:rsidRDefault="00C212A7" w:rsidP="00C212A7">
      <w:pPr>
        <w:spacing w:after="0" w:line="240" w:lineRule="auto"/>
        <w:rPr>
          <w:rFonts w:ascii="Times New Roman" w:eastAsia="Times New Roman" w:hAnsi="Times New Roman" w:cs="Times New Roman"/>
          <w:sz w:val="24"/>
          <w:szCs w:val="24"/>
          <w:lang w:eastAsia="en-GB"/>
        </w:rPr>
      </w:pPr>
    </w:p>
    <w:p w:rsidR="00C212A7" w:rsidRDefault="00C212A7" w:rsidP="00C212A7">
      <w:pPr>
        <w:spacing w:after="0" w:line="240" w:lineRule="auto"/>
        <w:rPr>
          <w:rFonts w:ascii="Arial" w:eastAsia="Times New Roman" w:hAnsi="Arial" w:cs="Arial"/>
          <w:color w:val="000000"/>
          <w:lang w:eastAsia="en-GB"/>
        </w:rPr>
      </w:pPr>
      <w:r w:rsidRPr="00C212A7">
        <w:rPr>
          <w:rFonts w:ascii="Arial" w:eastAsia="Times New Roman" w:hAnsi="Arial" w:cs="Arial"/>
          <w:color w:val="000000"/>
          <w:lang w:eastAsia="en-GB"/>
        </w:rPr>
        <w:t>In accordance with Section 100ZA(8) of the Town and Country Planning Act 1990 (as inserted by</w:t>
      </w:r>
      <w:hyperlink r:id="rId5" w:history="1">
        <w:r w:rsidRPr="00C212A7">
          <w:rPr>
            <w:rFonts w:ascii="Arial" w:eastAsia="Times New Roman" w:hAnsi="Arial" w:cs="Arial"/>
            <w:color w:val="000000"/>
            <w:lang w:eastAsia="en-GB"/>
          </w:rPr>
          <w:t xml:space="preserve"> section 14 of the Neighbourhood Planning Act 2017</w:t>
        </w:r>
      </w:hyperlink>
      <w:r w:rsidRPr="00C212A7">
        <w:rPr>
          <w:rFonts w:ascii="Arial" w:eastAsia="Times New Roman" w:hAnsi="Arial" w:cs="Arial"/>
          <w:color w:val="000000"/>
          <w:lang w:eastAsia="en-GB"/>
        </w:rPr>
        <w:t>, the Council hereby serve notice that the following pre-commencement conditions are proposed to be imposed on the above planning application:</w:t>
      </w:r>
      <w:bookmarkStart w:id="0" w:name="_GoBack"/>
      <w:bookmarkEnd w:id="0"/>
    </w:p>
    <w:p w:rsidR="00C212A7" w:rsidRPr="00C212A7" w:rsidRDefault="00C212A7" w:rsidP="00C212A7">
      <w:pPr>
        <w:spacing w:after="0" w:line="240" w:lineRule="auto"/>
        <w:rPr>
          <w:rFonts w:ascii="Times New Roman" w:eastAsia="Times New Roman" w:hAnsi="Times New Roman" w:cs="Times New Roman"/>
          <w:sz w:val="24"/>
          <w:szCs w:val="24"/>
          <w:lang w:eastAsia="en-GB"/>
        </w:rPr>
      </w:pPr>
    </w:p>
    <w:tbl>
      <w:tblPr>
        <w:tblW w:w="0" w:type="auto"/>
        <w:tblCellMar>
          <w:top w:w="15" w:type="dxa"/>
          <w:left w:w="15" w:type="dxa"/>
          <w:bottom w:w="15" w:type="dxa"/>
          <w:right w:w="15" w:type="dxa"/>
        </w:tblCellMar>
        <w:tblLook w:val="04A0"/>
      </w:tblPr>
      <w:tblGrid>
        <w:gridCol w:w="3717"/>
        <w:gridCol w:w="3150"/>
        <w:gridCol w:w="2359"/>
      </w:tblGrid>
      <w:tr w:rsidR="001F5802" w:rsidRPr="00C212A7" w:rsidTr="00C212A7">
        <w:trPr>
          <w:trHeight w:val="12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color w:val="000000"/>
                <w:lang w:eastAsia="en-GB"/>
              </w:rPr>
              <w:t>CONDITION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color w:val="000000"/>
                <w:lang w:eastAsia="en-GB"/>
              </w:rPr>
              <w:t xml:space="preserve">REASON FOR CONDITION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C212A7" w:rsidRPr="00C212A7" w:rsidRDefault="00C212A7" w:rsidP="00C212A7">
            <w:pPr>
              <w:spacing w:after="0" w:line="240" w:lineRule="auto"/>
              <w:rPr>
                <w:rFonts w:ascii="Times New Roman" w:eastAsia="Times New Roman" w:hAnsi="Times New Roman" w:cs="Times New Roman"/>
                <w:sz w:val="24"/>
                <w:szCs w:val="24"/>
                <w:lang w:eastAsia="en-GB"/>
              </w:rPr>
            </w:pPr>
            <w:r w:rsidRPr="00C212A7">
              <w:rPr>
                <w:rFonts w:ascii="Arial" w:eastAsia="Times New Roman" w:hAnsi="Arial" w:cs="Arial"/>
                <w:color w:val="000000"/>
                <w:lang w:eastAsia="en-GB"/>
              </w:rPr>
              <w:t>JUSTIFICATION FOR PRE-COMMENCEMENT CONDITION</w:t>
            </w:r>
          </w:p>
        </w:tc>
      </w:tr>
      <w:tr w:rsidR="001F5802" w:rsidRPr="00C212A7" w:rsidTr="00C212A7">
        <w:trPr>
          <w:trHeight w:val="12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A1F5E" w:rsidRDefault="000E3E09" w:rsidP="001A1F5E">
            <w:pPr>
              <w:spacing w:after="0" w:line="240" w:lineRule="auto"/>
              <w:rPr>
                <w:rFonts w:ascii="Arial" w:eastAsia="Times New Roman" w:hAnsi="Arial" w:cs="Arial"/>
                <w:b/>
                <w:color w:val="000000"/>
                <w:u w:val="single"/>
                <w:lang w:eastAsia="en-GB"/>
              </w:rPr>
            </w:pPr>
            <w:r>
              <w:rPr>
                <w:rFonts w:ascii="Arial" w:eastAsia="Times New Roman" w:hAnsi="Arial" w:cs="Arial"/>
                <w:b/>
                <w:color w:val="000000"/>
                <w:u w:val="single"/>
                <w:lang w:eastAsia="en-GB"/>
              </w:rPr>
              <w:t>4</w:t>
            </w:r>
            <w:r w:rsidR="001A1F5E">
              <w:rPr>
                <w:rFonts w:ascii="Arial" w:eastAsia="Times New Roman" w:hAnsi="Arial" w:cs="Arial"/>
                <w:b/>
                <w:color w:val="000000"/>
                <w:u w:val="single"/>
                <w:lang w:eastAsia="en-GB"/>
              </w:rPr>
              <w:t xml:space="preserve">. </w:t>
            </w:r>
            <w:r>
              <w:rPr>
                <w:rFonts w:ascii="Arial" w:eastAsia="Times New Roman" w:hAnsi="Arial" w:cs="Arial"/>
                <w:b/>
                <w:color w:val="000000"/>
                <w:u w:val="single"/>
                <w:lang w:eastAsia="en-GB"/>
              </w:rPr>
              <w:t>Sustainable Urban Drainage</w:t>
            </w:r>
          </w:p>
          <w:p w:rsidR="001F5802" w:rsidRPr="001F5802" w:rsidRDefault="00BC6B75" w:rsidP="005A3902">
            <w:pPr>
              <w:spacing w:after="0" w:line="240" w:lineRule="auto"/>
              <w:rPr>
                <w:rFonts w:ascii="Arial" w:eastAsia="Times New Roman" w:hAnsi="Arial" w:cs="Arial"/>
                <w:color w:val="000000"/>
                <w:lang w:eastAsia="en-GB"/>
              </w:rPr>
            </w:pPr>
            <w:r w:rsidRPr="00BC6B75">
              <w:t xml:space="preserve">Prior to commencement, (excluding demolition and site clearance) a plan for the provision of sustainable water management shall be submitted to, and approved in writing by the Local Planning Authority. As a minimum, the plan shall show the following details: i. Identify proposed areas of hardstanding as part of the development, state the material to be used for each area and show the proposed direction of slope. All hardstanding areas shall be formed of permeable surfaces, or slope to a permeable area or soakaway. Any work to front gardens not part of the planning application must be permeable or be collected and directed to a permeable area or soakaway, otherwise it would need an additional permission in line with the restrictions set out in the Town and Country Planning (General Permitted Development) (Amendment) (No. 2) (England) Order 2008. ii. Identify proposed downpipes from the development and show where these will discharge to. Collected surface water from roof areas will be directed away from the public sewer network as a preference by using SuDS such as rain gardens, soakaways or other infiltration techniques in line with Building Regulations Approved </w:t>
            </w:r>
            <w:r w:rsidRPr="00BC6B75">
              <w:lastRenderedPageBreak/>
              <w:t>Document H (2015). iii. List the proposed activities that will be undertaken to maintain the surface water drainage network. The drainage system should be maintained (such as gutter clearance, permeable paving jet washing and debris clearance from linear drainage channels) to ensure that it will continue to function over the lifetime of the development and will not increase the risk of surface water flooding. iv. Identify the water reuse methods to be implemented (i.e. water butts) The development should also use methods to minimise the use of potable water through the use of rainwater harvesting measures (such as water butts) to capture excess rainwater. Thereafter the development shall be implemented and retained/maintained in accordance with these details for as long as the development remains in existence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F5802" w:rsidRDefault="00BC6B75" w:rsidP="001F5802">
            <w:r w:rsidRPr="00BC6B75">
              <w:lastRenderedPageBreak/>
              <w:t>To ensure that surface water run off is controlled and to ensure the development does not increase the risk of flooding contrary to: Policy EM6 Flood Risk Management in Hillingdon Local Plan: Part 1- Strategic Policies (Nov 2012); Hillingdon Local Plan Part 2 Saved Unitary Development Plan Policy OE8; Policy DMEI 10 Water Management, Efficiency and Quality in emerging Hillingdon Local Plan Part 2 Development Management Policies; Policy 5.12 Flood Risk Management of the London Plan (March 2016); To be handled as close to its source as possible in compliance with Policy 5.13 Sustainable Drainage of the London Plan (March 2016); Conserve water supplies in accordance with Policy 5.15 Water use and supplies of the London Plan (March 2016); National Planning Policy Framework (July 2018); and the, Planning Practice Guidance (Flood Risk and Coastal Change March 2014).</w:t>
            </w:r>
          </w:p>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F5802" w:rsidRDefault="001F5802" w:rsidP="001F5802"/>
          <w:p w:rsidR="001A1F5E" w:rsidRPr="00C212A7" w:rsidRDefault="001A1F5E" w:rsidP="007C1C7F">
            <w:pPr>
              <w:spacing w:after="0" w:line="240" w:lineRule="auto"/>
              <w:rPr>
                <w:rFonts w:ascii="Arial" w:eastAsia="Times New Roman" w:hAnsi="Arial" w:cs="Arial"/>
                <w:color w:val="000000"/>
                <w:lang w:eastAsia="en-GB"/>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1A1F5E" w:rsidRPr="00EF7C6A" w:rsidRDefault="001F5802" w:rsidP="00EF7C6A">
            <w:r>
              <w:lastRenderedPageBreak/>
              <w:t xml:space="preserve">To ensure that </w:t>
            </w:r>
            <w:r w:rsidR="000E3E09">
              <w:t xml:space="preserve">Sustainable water management plan is sufficient. </w:t>
            </w: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1A1F5E" w:rsidRDefault="001A1F5E" w:rsidP="00C212A7">
            <w:pPr>
              <w:spacing w:after="0" w:line="240" w:lineRule="auto"/>
              <w:rPr>
                <w:rFonts w:ascii="Arial" w:eastAsia="Times New Roman" w:hAnsi="Arial" w:cs="Arial"/>
                <w:color w:val="000000"/>
                <w:lang w:eastAsia="en-GB"/>
              </w:rPr>
            </w:pPr>
          </w:p>
          <w:p w:rsidR="00C212A7" w:rsidRDefault="00C212A7"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Default="001F5802" w:rsidP="001A1F5E">
            <w:pPr>
              <w:spacing w:after="0" w:line="240" w:lineRule="auto"/>
              <w:rPr>
                <w:rFonts w:ascii="Arial" w:eastAsia="Times New Roman" w:hAnsi="Arial" w:cs="Arial"/>
                <w:color w:val="000000"/>
                <w:lang w:eastAsia="en-GB"/>
              </w:rPr>
            </w:pPr>
          </w:p>
          <w:p w:rsidR="001F5802" w:rsidRPr="00C212A7" w:rsidRDefault="001F5802" w:rsidP="001F5802">
            <w:pPr>
              <w:rPr>
                <w:rFonts w:ascii="Arial" w:eastAsia="Times New Roman" w:hAnsi="Arial" w:cs="Arial"/>
                <w:color w:val="000000"/>
                <w:lang w:eastAsia="en-GB"/>
              </w:rPr>
            </w:pPr>
          </w:p>
        </w:tc>
      </w:tr>
    </w:tbl>
    <w:p w:rsidR="008C53B5" w:rsidRDefault="004C7E0A" w:rsidP="005A3902"/>
    <w:sectPr w:rsidR="008C53B5" w:rsidSect="0033721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F2AC6"/>
    <w:multiLevelType w:val="multilevel"/>
    <w:tmpl w:val="72A81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364EE0"/>
    <w:multiLevelType w:val="multilevel"/>
    <w:tmpl w:val="48A6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C212A7"/>
    <w:rsid w:val="000E3E09"/>
    <w:rsid w:val="001A1F5E"/>
    <w:rsid w:val="001F5802"/>
    <w:rsid w:val="00337217"/>
    <w:rsid w:val="004B3792"/>
    <w:rsid w:val="004C7E0A"/>
    <w:rsid w:val="005A2539"/>
    <w:rsid w:val="005A3902"/>
    <w:rsid w:val="007C1C7F"/>
    <w:rsid w:val="009D0D60"/>
    <w:rsid w:val="00A0648E"/>
    <w:rsid w:val="00A55C3C"/>
    <w:rsid w:val="00B400FF"/>
    <w:rsid w:val="00BC6B75"/>
    <w:rsid w:val="00C212A7"/>
    <w:rsid w:val="00D44706"/>
    <w:rsid w:val="00E230CE"/>
    <w:rsid w:val="00EF7C6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2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12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212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212A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C212A7"/>
    <w:rPr>
      <w:color w:val="0000FF"/>
      <w:u w:val="single"/>
    </w:rPr>
  </w:style>
</w:styles>
</file>

<file path=word/webSettings.xml><?xml version="1.0" encoding="utf-8"?>
<w:webSettings xmlns:r="http://schemas.openxmlformats.org/officeDocument/2006/relationships" xmlns:w="http://schemas.openxmlformats.org/wordprocessingml/2006/main">
  <w:divs>
    <w:div w:id="1274555946">
      <w:bodyDiv w:val="1"/>
      <w:marLeft w:val="0"/>
      <w:marRight w:val="0"/>
      <w:marTop w:val="0"/>
      <w:marBottom w:val="0"/>
      <w:divBdr>
        <w:top w:val="none" w:sz="0" w:space="0" w:color="auto"/>
        <w:left w:val="none" w:sz="0" w:space="0" w:color="auto"/>
        <w:bottom w:val="none" w:sz="0" w:space="0" w:color="auto"/>
        <w:right w:val="none" w:sz="0" w:space="0" w:color="auto"/>
      </w:divBdr>
      <w:divsChild>
        <w:div w:id="2127194862">
          <w:marLeft w:val="15"/>
          <w:marRight w:val="0"/>
          <w:marTop w:val="0"/>
          <w:marBottom w:val="0"/>
          <w:divBdr>
            <w:top w:val="none" w:sz="0" w:space="0" w:color="auto"/>
            <w:left w:val="none" w:sz="0" w:space="0" w:color="auto"/>
            <w:bottom w:val="none" w:sz="0" w:space="0" w:color="auto"/>
            <w:right w:val="none" w:sz="0" w:space="0" w:color="auto"/>
          </w:divBdr>
        </w:div>
        <w:div w:id="1277904616">
          <w:marLeft w:val="-111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gislation.gov.uk/ukpga/2017/20/section/14/enact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TerraQuest</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Spencer</dc:creator>
  <cp:lastModifiedBy>cspencer2</cp:lastModifiedBy>
  <cp:revision>2</cp:revision>
  <dcterms:created xsi:type="dcterms:W3CDTF">2019-05-28T10:30:00Z</dcterms:created>
  <dcterms:modified xsi:type="dcterms:W3CDTF">2019-05-28T10:30:00Z</dcterms:modified>
</cp:coreProperties>
</file>