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B5195" w14:textId="5C10309E" w:rsidR="00F22C8C" w:rsidRPr="00F22C8C" w:rsidRDefault="00F22C8C" w:rsidP="00F22C8C">
      <w:r w:rsidRPr="00F22C8C">
        <w:rPr>
          <w:noProof/>
        </w:rPr>
        <w:drawing>
          <wp:inline distT="0" distB="0" distL="0" distR="0" wp14:anchorId="2BF308F4" wp14:editId="49299A45">
            <wp:extent cx="2133600" cy="1295400"/>
            <wp:effectExtent l="0" t="0" r="0" b="0"/>
            <wp:docPr id="3735591"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295400"/>
                    </a:xfrm>
                    <a:prstGeom prst="rect">
                      <a:avLst/>
                    </a:prstGeom>
                    <a:noFill/>
                    <a:ln>
                      <a:noFill/>
                    </a:ln>
                  </pic:spPr>
                </pic:pic>
              </a:graphicData>
            </a:graphic>
          </wp:inline>
        </w:drawing>
      </w:r>
    </w:p>
    <w:p w14:paraId="38658BE8" w14:textId="77777777" w:rsidR="00F22C8C" w:rsidRPr="00F22C8C" w:rsidRDefault="00F22C8C" w:rsidP="00F22C8C">
      <w:r w:rsidRPr="00F22C8C">
        <w:rPr>
          <w:rFonts w:ascii="Arial" w:hAnsi="Arial" w:cs="Arial"/>
        </w:rPr>
        <w:t> </w:t>
      </w:r>
      <w:r w:rsidRPr="00F22C8C">
        <w:t> </w:t>
      </w:r>
    </w:p>
    <w:p w14:paraId="2AB527C3" w14:textId="77777777" w:rsidR="00F22C8C" w:rsidRPr="00F22C8C" w:rsidRDefault="00F22C8C" w:rsidP="00F22C8C">
      <w:r w:rsidRPr="00F22C8C">
        <w:rPr>
          <w:rFonts w:ascii="Arial" w:hAnsi="Arial" w:cs="Arial"/>
        </w:rPr>
        <w:t> </w:t>
      </w:r>
      <w:r w:rsidRPr="00F22C8C">
        <w:t> </w:t>
      </w:r>
    </w:p>
    <w:p w14:paraId="02C32D93" w14:textId="77777777" w:rsidR="00F22C8C" w:rsidRPr="00F22C8C" w:rsidRDefault="00F22C8C" w:rsidP="00F22C8C">
      <w:r w:rsidRPr="00F22C8C">
        <w:t>CONSERVATION AND DESIGN COMMENTS</w:t>
      </w:r>
      <w:r w:rsidRPr="00F22C8C">
        <w:rPr>
          <w:rFonts w:ascii="Arial" w:hAnsi="Arial" w:cs="Arial"/>
        </w:rPr>
        <w:t> </w:t>
      </w:r>
      <w:r w:rsidRPr="00F22C8C">
        <w:rPr>
          <w:rFonts w:ascii="Aptos" w:hAnsi="Aptos" w:cs="Aptos"/>
        </w:rPr>
        <w:t> </w:t>
      </w:r>
    </w:p>
    <w:p w14:paraId="14B809B1" w14:textId="05716761" w:rsidR="00F22C8C" w:rsidRPr="00F22C8C" w:rsidRDefault="00F22C8C" w:rsidP="00F22C8C">
      <w:r w:rsidRPr="00F22C8C">
        <w:t>Site</w:t>
      </w:r>
      <w:r w:rsidRPr="00F22C8C">
        <w:rPr>
          <w:rFonts w:ascii="Arial" w:hAnsi="Arial" w:cs="Arial"/>
        </w:rPr>
        <w:t> </w:t>
      </w:r>
      <w:r w:rsidRPr="00F22C8C">
        <w:t>Address:</w:t>
      </w:r>
      <w:r w:rsidRPr="00F22C8C">
        <w:tab/>
      </w:r>
      <w:r w:rsidRPr="00F22C8C">
        <w:tab/>
      </w:r>
      <w:r>
        <w:rPr>
          <w:b/>
          <w:bCs/>
        </w:rPr>
        <w:t>14 Eastbury Road Northwood</w:t>
      </w:r>
      <w:r w:rsidRPr="00F22C8C">
        <w:t> </w:t>
      </w:r>
    </w:p>
    <w:p w14:paraId="735881FF" w14:textId="4B26EE9D" w:rsidR="00F22C8C" w:rsidRPr="00F22C8C" w:rsidRDefault="00F22C8C" w:rsidP="00F22C8C">
      <w:pPr>
        <w:pStyle w:val="Heading3"/>
        <w:rPr>
          <w:rFonts w:ascii="Arial" w:eastAsia="Times New Roman" w:hAnsi="Arial" w:cs="Arial"/>
          <w:b/>
          <w:bCs/>
          <w:color w:val="auto"/>
          <w:kern w:val="0"/>
          <w:sz w:val="27"/>
          <w:szCs w:val="27"/>
          <w:lang w:eastAsia="en-GB"/>
          <w14:ligatures w14:val="none"/>
        </w:rPr>
      </w:pPr>
      <w:r w:rsidRPr="00F22C8C">
        <w:t>Planning</w:t>
      </w:r>
      <w:r w:rsidRPr="00F22C8C">
        <w:rPr>
          <w:rFonts w:ascii="Arial" w:hAnsi="Arial" w:cs="Arial"/>
        </w:rPr>
        <w:t> </w:t>
      </w:r>
      <w:r w:rsidRPr="00F22C8C">
        <w:t>ref:</w:t>
      </w:r>
      <w:r w:rsidRPr="00F22C8C">
        <w:tab/>
      </w:r>
      <w:r w:rsidRPr="00F22C8C">
        <w:tab/>
      </w:r>
      <w:r w:rsidRPr="00F22C8C">
        <w:rPr>
          <w:rFonts w:ascii="Arial" w:eastAsia="Times New Roman" w:hAnsi="Arial" w:cs="Arial"/>
          <w:b/>
          <w:bCs/>
          <w:color w:val="auto"/>
          <w:kern w:val="0"/>
          <w:sz w:val="27"/>
          <w:szCs w:val="27"/>
          <w:lang w:eastAsia="en-GB"/>
          <w14:ligatures w14:val="none"/>
        </w:rPr>
        <w:t>14034/APP/2026/1143</w:t>
      </w:r>
    </w:p>
    <w:p w14:paraId="25801B69" w14:textId="4A489690" w:rsidR="00F22C8C" w:rsidRPr="00F22C8C" w:rsidRDefault="00F22C8C" w:rsidP="00F22C8C">
      <w:r w:rsidRPr="00F22C8C">
        <w:t>Case</w:t>
      </w:r>
      <w:r w:rsidRPr="00F22C8C">
        <w:rPr>
          <w:rFonts w:ascii="Arial" w:hAnsi="Arial" w:cs="Arial"/>
        </w:rPr>
        <w:t> </w:t>
      </w:r>
      <w:r w:rsidRPr="00F22C8C">
        <w:t>Officer:</w:t>
      </w:r>
      <w:r w:rsidRPr="00F22C8C">
        <w:tab/>
      </w:r>
      <w:r w:rsidRPr="00F22C8C">
        <w:tab/>
      </w:r>
      <w:r>
        <w:t>Shar</w:t>
      </w:r>
      <w:r w:rsidR="00BE7EDF">
        <w:t>a</w:t>
      </w:r>
      <w:r>
        <w:t>n Singh</w:t>
      </w:r>
      <w:r w:rsidRPr="00F22C8C">
        <w:rPr>
          <w:rFonts w:ascii="Aptos" w:hAnsi="Aptos" w:cs="Aptos"/>
        </w:rPr>
        <w:t> </w:t>
      </w:r>
    </w:p>
    <w:p w14:paraId="3EA843B7" w14:textId="77777777" w:rsidR="00F22C8C" w:rsidRPr="00F22C8C" w:rsidRDefault="00F22C8C" w:rsidP="00F22C8C">
      <w:r w:rsidRPr="00F22C8C">
        <w:t>Conservation</w:t>
      </w:r>
      <w:r w:rsidRPr="00F22C8C">
        <w:rPr>
          <w:rFonts w:ascii="Arial" w:hAnsi="Arial" w:cs="Arial"/>
        </w:rPr>
        <w:t> </w:t>
      </w:r>
      <w:r w:rsidRPr="00F22C8C">
        <w:t>Officer:</w:t>
      </w:r>
      <w:r w:rsidRPr="00F22C8C">
        <w:tab/>
        <w:t>Neil Robertson</w:t>
      </w:r>
      <w:r w:rsidRPr="00F22C8C">
        <w:tab/>
      </w:r>
      <w:r w:rsidRPr="00F22C8C">
        <w:rPr>
          <w:rFonts w:ascii="Arial" w:hAnsi="Arial" w:cs="Arial"/>
        </w:rPr>
        <w:t> </w:t>
      </w:r>
      <w:r w:rsidRPr="00F22C8C">
        <w:rPr>
          <w:rFonts w:ascii="Aptos" w:hAnsi="Aptos" w:cs="Aptos"/>
        </w:rPr>
        <w:t> </w:t>
      </w:r>
    </w:p>
    <w:p w14:paraId="583AA2A3" w14:textId="77777777" w:rsidR="00F22C8C" w:rsidRPr="00F22C8C" w:rsidRDefault="00F22C8C" w:rsidP="00F22C8C">
      <w:r w:rsidRPr="00F22C8C">
        <w:t>Date of</w:t>
      </w:r>
      <w:r w:rsidRPr="00F22C8C">
        <w:rPr>
          <w:rFonts w:ascii="Arial" w:hAnsi="Arial" w:cs="Arial"/>
        </w:rPr>
        <w:t> </w:t>
      </w:r>
      <w:r w:rsidRPr="00F22C8C">
        <w:t>comments:</w:t>
      </w:r>
      <w:r w:rsidRPr="00F22C8C">
        <w:tab/>
        <w:t>September 2026</w:t>
      </w:r>
    </w:p>
    <w:p w14:paraId="5C7E3B47" w14:textId="5CF20727" w:rsidR="00F22C8C" w:rsidRPr="00F22C8C" w:rsidRDefault="00F22C8C" w:rsidP="00F22C8C">
      <w:r w:rsidRPr="00F22C8C">
        <w:t>Proposal:</w:t>
      </w:r>
      <w:r w:rsidRPr="00F22C8C">
        <w:tab/>
      </w:r>
      <w:r>
        <w:t>Extensions to dwelling</w:t>
      </w:r>
      <w:r w:rsidRPr="00F22C8C">
        <w:rPr>
          <w:rFonts w:ascii="Arial" w:hAnsi="Arial" w:cs="Arial"/>
        </w:rPr>
        <w:t> </w:t>
      </w:r>
      <w:r w:rsidRPr="00F22C8C">
        <w:tab/>
      </w:r>
      <w:r w:rsidRPr="00F22C8C">
        <w:rPr>
          <w:rFonts w:ascii="Arial" w:hAnsi="Arial" w:cs="Arial"/>
        </w:rPr>
        <w:t>  </w:t>
      </w:r>
      <w:r w:rsidRPr="00F22C8C">
        <w:rPr>
          <w:rFonts w:ascii="Aptos" w:hAnsi="Aptos" w:cs="Aptos"/>
        </w:rPr>
        <w:t> </w:t>
      </w:r>
    </w:p>
    <w:p w14:paraId="71B4FA7E" w14:textId="77777777" w:rsidR="00F22C8C" w:rsidRPr="00F22C8C" w:rsidRDefault="00F22C8C" w:rsidP="00F22C8C">
      <w:r w:rsidRPr="00F22C8C">
        <w:rPr>
          <w:rFonts w:ascii="Arial" w:hAnsi="Arial" w:cs="Arial"/>
        </w:rPr>
        <w:t> </w:t>
      </w:r>
      <w:r w:rsidRPr="00F22C8C">
        <w:t> </w:t>
      </w:r>
    </w:p>
    <w:tbl>
      <w:tblPr>
        <w:tblW w:w="0" w:type="dxa"/>
        <w:tblInd w:w="690" w:type="dxa"/>
        <w:tblBorders>
          <w:top w:val="outset" w:sz="6" w:space="0" w:color="auto"/>
          <w:left w:val="outset" w:sz="6" w:space="0" w:color="auto"/>
          <w:bottom w:val="outset" w:sz="6" w:space="0" w:color="auto"/>
          <w:right w:val="outset" w:sz="6" w:space="0" w:color="auto"/>
        </w:tblBorders>
        <w:shd w:val="clear" w:color="auto" w:fill="D9F2D0"/>
        <w:tblCellMar>
          <w:left w:w="0" w:type="dxa"/>
          <w:right w:w="0" w:type="dxa"/>
        </w:tblCellMar>
        <w:tblLook w:val="04A0" w:firstRow="1" w:lastRow="0" w:firstColumn="1" w:lastColumn="0" w:noHBand="0" w:noVBand="1"/>
      </w:tblPr>
      <w:tblGrid>
        <w:gridCol w:w="1194"/>
        <w:gridCol w:w="1245"/>
        <w:gridCol w:w="1515"/>
        <w:gridCol w:w="1575"/>
        <w:gridCol w:w="2160"/>
      </w:tblGrid>
      <w:tr w:rsidR="00F22C8C" w:rsidRPr="00F22C8C" w14:paraId="478E57E1" w14:textId="77777777">
        <w:trPr>
          <w:trHeight w:val="300"/>
        </w:trPr>
        <w:tc>
          <w:tcPr>
            <w:tcW w:w="1140" w:type="dxa"/>
            <w:tcBorders>
              <w:top w:val="single" w:sz="12" w:space="0" w:color="3A7C22"/>
              <w:left w:val="single" w:sz="12" w:space="0" w:color="3A7C22"/>
              <w:bottom w:val="single" w:sz="6" w:space="0" w:color="3A7C22"/>
              <w:right w:val="single" w:sz="6" w:space="0" w:color="3A7C22"/>
            </w:tcBorders>
            <w:shd w:val="clear" w:color="auto" w:fill="FFFFFF"/>
            <w:hideMark/>
          </w:tcPr>
          <w:p w14:paraId="46FA9C99" w14:textId="77777777" w:rsidR="00F22C8C" w:rsidRPr="00F22C8C" w:rsidRDefault="00F22C8C" w:rsidP="00F22C8C">
            <w:r w:rsidRPr="00F22C8C">
              <w:rPr>
                <w:b/>
                <w:bCs/>
              </w:rPr>
              <w:t>Objection</w:t>
            </w:r>
            <w:r w:rsidRPr="00F22C8C">
              <w:rPr>
                <w:rFonts w:ascii="Arial" w:hAnsi="Arial" w:cs="Arial"/>
              </w:rPr>
              <w:t> </w:t>
            </w:r>
            <w:r w:rsidRPr="00F22C8C">
              <w:t> </w:t>
            </w:r>
          </w:p>
        </w:tc>
        <w:tc>
          <w:tcPr>
            <w:tcW w:w="1245" w:type="dxa"/>
            <w:tcBorders>
              <w:top w:val="single" w:sz="12" w:space="0" w:color="3A7C22"/>
              <w:left w:val="single" w:sz="6" w:space="0" w:color="3A7C22"/>
              <w:bottom w:val="single" w:sz="6" w:space="0" w:color="3A7C22"/>
              <w:right w:val="single" w:sz="6" w:space="0" w:color="3A7C22"/>
            </w:tcBorders>
            <w:shd w:val="clear" w:color="auto" w:fill="FFFFFF"/>
            <w:hideMark/>
          </w:tcPr>
          <w:p w14:paraId="175677EB" w14:textId="77777777" w:rsidR="00F22C8C" w:rsidRPr="00F22C8C" w:rsidRDefault="00F22C8C" w:rsidP="00F22C8C">
            <w:r w:rsidRPr="00F22C8C">
              <w:rPr>
                <w:b/>
                <w:bCs/>
              </w:rPr>
              <w:t>Harm</w:t>
            </w:r>
            <w:r w:rsidRPr="00F22C8C">
              <w:rPr>
                <w:rFonts w:ascii="Arial" w:hAnsi="Arial" w:cs="Arial"/>
              </w:rPr>
              <w:t> </w:t>
            </w:r>
            <w:r w:rsidRPr="00F22C8C">
              <w:t> </w:t>
            </w:r>
          </w:p>
        </w:tc>
        <w:tc>
          <w:tcPr>
            <w:tcW w:w="1515" w:type="dxa"/>
            <w:tcBorders>
              <w:top w:val="single" w:sz="12" w:space="0" w:color="3A7C22"/>
              <w:left w:val="single" w:sz="6" w:space="0" w:color="3A7C22"/>
              <w:bottom w:val="single" w:sz="6" w:space="0" w:color="3A7C22"/>
              <w:right w:val="single" w:sz="6" w:space="0" w:color="3A7C22"/>
            </w:tcBorders>
            <w:shd w:val="clear" w:color="auto" w:fill="FFFFFF"/>
            <w:hideMark/>
          </w:tcPr>
          <w:p w14:paraId="6B434025" w14:textId="77777777" w:rsidR="00F22C8C" w:rsidRPr="00F22C8C" w:rsidRDefault="00F22C8C" w:rsidP="00F22C8C">
            <w:r w:rsidRPr="00F22C8C">
              <w:rPr>
                <w:b/>
                <w:bCs/>
              </w:rPr>
              <w:t>Comments</w:t>
            </w:r>
            <w:r w:rsidRPr="00F22C8C">
              <w:rPr>
                <w:rFonts w:ascii="Arial" w:hAnsi="Arial" w:cs="Arial"/>
              </w:rPr>
              <w:t> </w:t>
            </w:r>
            <w:r w:rsidRPr="00F22C8C">
              <w:t> </w:t>
            </w:r>
          </w:p>
        </w:tc>
        <w:tc>
          <w:tcPr>
            <w:tcW w:w="1575" w:type="dxa"/>
            <w:tcBorders>
              <w:top w:val="single" w:sz="12" w:space="0" w:color="3A7C22"/>
              <w:left w:val="single" w:sz="6" w:space="0" w:color="3A7C22"/>
              <w:bottom w:val="single" w:sz="6" w:space="0" w:color="3A7C22"/>
              <w:right w:val="single" w:sz="6" w:space="0" w:color="3A7C22"/>
            </w:tcBorders>
            <w:shd w:val="clear" w:color="auto" w:fill="FFFFFF"/>
            <w:hideMark/>
          </w:tcPr>
          <w:p w14:paraId="0E00BA1D" w14:textId="77777777" w:rsidR="00F22C8C" w:rsidRPr="00F22C8C" w:rsidRDefault="00F22C8C" w:rsidP="00F22C8C">
            <w:r w:rsidRPr="00F22C8C">
              <w:rPr>
                <w:b/>
                <w:bCs/>
              </w:rPr>
              <w:t>Conditions</w:t>
            </w:r>
            <w:r w:rsidRPr="00F22C8C">
              <w:rPr>
                <w:rFonts w:ascii="Arial" w:hAnsi="Arial" w:cs="Arial"/>
              </w:rPr>
              <w:t> </w:t>
            </w:r>
            <w:r w:rsidRPr="00F22C8C">
              <w:t> </w:t>
            </w:r>
          </w:p>
        </w:tc>
        <w:tc>
          <w:tcPr>
            <w:tcW w:w="2160" w:type="dxa"/>
            <w:tcBorders>
              <w:top w:val="single" w:sz="12" w:space="0" w:color="3A7C22"/>
              <w:left w:val="single" w:sz="6" w:space="0" w:color="3A7C22"/>
              <w:bottom w:val="single" w:sz="6" w:space="0" w:color="3A7C22"/>
              <w:right w:val="single" w:sz="6" w:space="0" w:color="3A7C22"/>
            </w:tcBorders>
            <w:shd w:val="clear" w:color="auto" w:fill="FFFFFF"/>
            <w:hideMark/>
          </w:tcPr>
          <w:p w14:paraId="4CF0A8F3" w14:textId="77777777" w:rsidR="00F22C8C" w:rsidRPr="00F22C8C" w:rsidRDefault="00F22C8C" w:rsidP="00F22C8C">
            <w:r w:rsidRPr="00F22C8C">
              <w:rPr>
                <w:b/>
                <w:bCs/>
              </w:rPr>
              <w:t>Approval of Details</w:t>
            </w:r>
            <w:r w:rsidRPr="00F22C8C">
              <w:rPr>
                <w:rFonts w:ascii="Arial" w:hAnsi="Arial" w:cs="Arial"/>
              </w:rPr>
              <w:t> </w:t>
            </w:r>
            <w:r w:rsidRPr="00F22C8C">
              <w:t> </w:t>
            </w:r>
          </w:p>
        </w:tc>
      </w:tr>
      <w:tr w:rsidR="00F22C8C" w:rsidRPr="00F22C8C" w14:paraId="35E0AF6D" w14:textId="77777777">
        <w:trPr>
          <w:trHeight w:val="300"/>
        </w:trPr>
        <w:tc>
          <w:tcPr>
            <w:tcW w:w="1140" w:type="dxa"/>
            <w:tcBorders>
              <w:top w:val="single" w:sz="6" w:space="0" w:color="3A7C22"/>
              <w:left w:val="single" w:sz="12" w:space="0" w:color="3A7C22"/>
              <w:bottom w:val="single" w:sz="6" w:space="0" w:color="3A7C22"/>
              <w:right w:val="single" w:sz="6" w:space="0" w:color="3A7C22"/>
            </w:tcBorders>
            <w:hideMark/>
          </w:tcPr>
          <w:p w14:paraId="3ACE3844" w14:textId="4C094061" w:rsidR="00F22C8C" w:rsidRPr="00F22C8C" w:rsidRDefault="00F22C8C" w:rsidP="00F22C8C">
            <w:r w:rsidRPr="00F22C8C">
              <w:rPr>
                <w:rFonts w:ascii="Arial" w:hAnsi="Arial" w:cs="Arial"/>
              </w:rPr>
              <w:t>            </w:t>
            </w:r>
            <w:r w:rsidRPr="00F22C8C">
              <w:t> </w:t>
            </w:r>
            <w:r>
              <w:t>X</w:t>
            </w:r>
          </w:p>
        </w:tc>
        <w:tc>
          <w:tcPr>
            <w:tcW w:w="1245" w:type="dxa"/>
            <w:tcBorders>
              <w:top w:val="single" w:sz="6" w:space="0" w:color="3A7C22"/>
              <w:left w:val="single" w:sz="6" w:space="0" w:color="3A7C22"/>
              <w:bottom w:val="single" w:sz="6" w:space="0" w:color="3A7C22"/>
              <w:right w:val="single" w:sz="6" w:space="0" w:color="3A7C22"/>
            </w:tcBorders>
            <w:hideMark/>
          </w:tcPr>
          <w:p w14:paraId="14516744" w14:textId="77777777" w:rsidR="00F22C8C" w:rsidRPr="00F22C8C" w:rsidRDefault="00F22C8C" w:rsidP="00F22C8C">
            <w:r w:rsidRPr="00F22C8C">
              <w:rPr>
                <w:rFonts w:ascii="Arial" w:hAnsi="Arial" w:cs="Arial"/>
              </w:rPr>
              <w:t> </w:t>
            </w:r>
            <w:r w:rsidRPr="00F22C8C">
              <w:t> </w:t>
            </w:r>
          </w:p>
        </w:tc>
        <w:tc>
          <w:tcPr>
            <w:tcW w:w="1515" w:type="dxa"/>
            <w:tcBorders>
              <w:top w:val="single" w:sz="6" w:space="0" w:color="3A7C22"/>
              <w:left w:val="single" w:sz="6" w:space="0" w:color="3A7C22"/>
              <w:bottom w:val="single" w:sz="6" w:space="0" w:color="3A7C22"/>
              <w:right w:val="single" w:sz="6" w:space="0" w:color="3A7C22"/>
            </w:tcBorders>
            <w:hideMark/>
          </w:tcPr>
          <w:p w14:paraId="11F35806" w14:textId="7F1515C3" w:rsidR="00F22C8C" w:rsidRPr="00F22C8C" w:rsidRDefault="00F22C8C" w:rsidP="00F22C8C"/>
        </w:tc>
        <w:tc>
          <w:tcPr>
            <w:tcW w:w="1575" w:type="dxa"/>
            <w:tcBorders>
              <w:top w:val="single" w:sz="6" w:space="0" w:color="3A7C22"/>
              <w:left w:val="single" w:sz="6" w:space="0" w:color="3A7C22"/>
              <w:bottom w:val="single" w:sz="6" w:space="0" w:color="3A7C22"/>
              <w:right w:val="single" w:sz="6" w:space="0" w:color="3A7C22"/>
            </w:tcBorders>
            <w:hideMark/>
          </w:tcPr>
          <w:p w14:paraId="3F849A1F" w14:textId="77777777" w:rsidR="00F22C8C" w:rsidRPr="00F22C8C" w:rsidRDefault="00F22C8C" w:rsidP="00F22C8C">
            <w:r w:rsidRPr="00F22C8C">
              <w:rPr>
                <w:rFonts w:ascii="Arial" w:hAnsi="Arial" w:cs="Arial"/>
              </w:rPr>
              <w:t> </w:t>
            </w:r>
            <w:r w:rsidRPr="00F22C8C">
              <w:t> </w:t>
            </w:r>
          </w:p>
        </w:tc>
        <w:tc>
          <w:tcPr>
            <w:tcW w:w="2160" w:type="dxa"/>
            <w:tcBorders>
              <w:top w:val="single" w:sz="6" w:space="0" w:color="3A7C22"/>
              <w:left w:val="single" w:sz="6" w:space="0" w:color="3A7C22"/>
              <w:bottom w:val="single" w:sz="6" w:space="0" w:color="3A7C22"/>
              <w:right w:val="single" w:sz="6" w:space="0" w:color="3A7C22"/>
            </w:tcBorders>
            <w:hideMark/>
          </w:tcPr>
          <w:p w14:paraId="5D197D16" w14:textId="77777777" w:rsidR="00F22C8C" w:rsidRPr="00F22C8C" w:rsidRDefault="00F22C8C" w:rsidP="00F22C8C">
            <w:r w:rsidRPr="00F22C8C">
              <w:rPr>
                <w:rFonts w:ascii="Arial" w:hAnsi="Arial" w:cs="Arial"/>
              </w:rPr>
              <w:t> </w:t>
            </w:r>
            <w:r w:rsidRPr="00F22C8C">
              <w:t> </w:t>
            </w:r>
          </w:p>
        </w:tc>
      </w:tr>
    </w:tbl>
    <w:p w14:paraId="07B6BACC" w14:textId="77777777" w:rsidR="00F22C8C" w:rsidRPr="00F22C8C" w:rsidRDefault="00F22C8C" w:rsidP="00F22C8C">
      <w:r w:rsidRPr="00F22C8C">
        <w:rPr>
          <w:rFonts w:ascii="Arial" w:hAnsi="Arial" w:cs="Arial"/>
        </w:rPr>
        <w:t> </w:t>
      </w:r>
      <w:r w:rsidRPr="00F22C8C">
        <w:t> </w:t>
      </w:r>
    </w:p>
    <w:p w14:paraId="0828E18E" w14:textId="77777777" w:rsidR="00F22C8C" w:rsidRPr="00F22C8C" w:rsidRDefault="00F22C8C" w:rsidP="00F22C8C">
      <w:r w:rsidRPr="00F22C8C">
        <w:rPr>
          <w:rFonts w:ascii="Arial" w:hAnsi="Arial" w:cs="Arial"/>
        </w:rPr>
        <w:t> </w:t>
      </w:r>
      <w:r w:rsidRPr="00F22C8C">
        <w:t> </w:t>
      </w:r>
    </w:p>
    <w:p w14:paraId="2361B5F7" w14:textId="77777777" w:rsidR="00F22C8C" w:rsidRPr="00F22C8C" w:rsidRDefault="00F22C8C" w:rsidP="00F22C8C">
      <w:pPr>
        <w:numPr>
          <w:ilvl w:val="0"/>
          <w:numId w:val="1"/>
        </w:numPr>
      </w:pPr>
      <w:r w:rsidRPr="00F22C8C">
        <w:rPr>
          <w:b/>
          <w:bCs/>
        </w:rPr>
        <w:t>Background</w:t>
      </w:r>
      <w:r w:rsidRPr="00F22C8C">
        <w:rPr>
          <w:rFonts w:ascii="Arial" w:hAnsi="Arial" w:cs="Arial"/>
        </w:rPr>
        <w:t> </w:t>
      </w:r>
      <w:r w:rsidRPr="00F22C8C">
        <w:t> </w:t>
      </w:r>
    </w:p>
    <w:p w14:paraId="0FF63455" w14:textId="77CD5B5C" w:rsidR="00F22C8C" w:rsidRDefault="00F22C8C" w:rsidP="00F22C8C">
      <w:r w:rsidRPr="00F22C8C">
        <w:rPr>
          <w:b/>
          <w:bCs/>
        </w:rPr>
        <w:t>10-16 Eastbury Road</w:t>
      </w:r>
      <w:r w:rsidRPr="00F22C8C">
        <w:t xml:space="preserve"> is a group of locally listed detached houses built between 1907 and 1914 by Harry Neal and designed by C H B Quennell in an Arts and Crafts style with later additions and alterations. They </w:t>
      </w:r>
      <w:r>
        <w:t xml:space="preserve">make a </w:t>
      </w:r>
      <w:r w:rsidRPr="00F22C8C">
        <w:t>positive contribution</w:t>
      </w:r>
      <w:r>
        <w:t xml:space="preserve"> to the character of the conservation area via</w:t>
      </w:r>
      <w:r w:rsidRPr="00F22C8C">
        <w:t xml:space="preserve"> the street scene and the local character and are locally listed.  No 10 now has a white render. Number 12 is red brick with a tile hipped roof, slightly projecting right wing with gable. Number 14 in dark red brick with light red brick for decorative use and tile hung, it has a prominent central gable with exposed chimney breast, this has the strongest vernacular Arts and Crafts character of the group. Number.16 is more classical in character with symmetrical red brick elevations and a tiled hipped roof, dentil cornice and large sash windows with gauged brick arches and key stone.</w:t>
      </w:r>
    </w:p>
    <w:p w14:paraId="0057B5E9" w14:textId="6B16241A" w:rsidR="00F22C8C" w:rsidRPr="00F22C8C" w:rsidRDefault="00F22C8C" w:rsidP="00F22C8C">
      <w:r>
        <w:lastRenderedPageBreak/>
        <w:t xml:space="preserve">In relation to number 14 as noted it is a particularly good example of the arts and crafts type dwelling within the </w:t>
      </w:r>
      <w:proofErr w:type="spellStart"/>
      <w:r w:rsidR="000F0003">
        <w:t>F</w:t>
      </w:r>
      <w:r>
        <w:t>rithwood</w:t>
      </w:r>
      <w:proofErr w:type="spellEnd"/>
      <w:r>
        <w:t xml:space="preserve"> conservation area. This character has generally been maintained. The garden and gaps between properties add to the setting. </w:t>
      </w:r>
    </w:p>
    <w:p w14:paraId="73424DAF" w14:textId="77777777" w:rsidR="00F22C8C" w:rsidRPr="00F22C8C" w:rsidRDefault="00F22C8C" w:rsidP="00F22C8C">
      <w:r w:rsidRPr="00F22C8C">
        <w:rPr>
          <w:rFonts w:ascii="Arial" w:hAnsi="Arial" w:cs="Arial"/>
        </w:rPr>
        <w:t> </w:t>
      </w:r>
      <w:r w:rsidRPr="00F22C8C">
        <w:t> </w:t>
      </w:r>
    </w:p>
    <w:p w14:paraId="51AB243D" w14:textId="77777777" w:rsidR="00F22C8C" w:rsidRPr="00F22C8C" w:rsidRDefault="00F22C8C" w:rsidP="00F22C8C">
      <w:pPr>
        <w:numPr>
          <w:ilvl w:val="0"/>
          <w:numId w:val="2"/>
        </w:numPr>
      </w:pPr>
      <w:r w:rsidRPr="00F22C8C">
        <w:rPr>
          <w:b/>
          <w:bCs/>
        </w:rPr>
        <w:t>Proposal</w:t>
      </w:r>
      <w:r w:rsidRPr="00F22C8C">
        <w:rPr>
          <w:rFonts w:ascii="Arial" w:hAnsi="Arial" w:cs="Arial"/>
        </w:rPr>
        <w:t> </w:t>
      </w:r>
      <w:r w:rsidRPr="00F22C8C">
        <w:t> </w:t>
      </w:r>
    </w:p>
    <w:p w14:paraId="2D9A2721" w14:textId="77777777" w:rsidR="00F22C8C" w:rsidRPr="00F22C8C" w:rsidRDefault="00F22C8C" w:rsidP="00F22C8C">
      <w:r w:rsidRPr="00F22C8C">
        <w:rPr>
          <w:rFonts w:ascii="Arial" w:hAnsi="Arial" w:cs="Arial"/>
        </w:rPr>
        <w:t> </w:t>
      </w:r>
      <w:r w:rsidRPr="00F22C8C">
        <w:t> </w:t>
      </w:r>
    </w:p>
    <w:p w14:paraId="0DDBF735" w14:textId="0EA29F00" w:rsidR="00F22C8C" w:rsidRPr="00F22C8C" w:rsidRDefault="00F22C8C" w:rsidP="00F22C8C">
      <w:r>
        <w:t>Extensions and alterations</w:t>
      </w:r>
    </w:p>
    <w:p w14:paraId="4AA7540A" w14:textId="77777777" w:rsidR="00F22C8C" w:rsidRPr="00F22C8C" w:rsidRDefault="00F22C8C" w:rsidP="00F22C8C">
      <w:r w:rsidRPr="00F22C8C">
        <w:rPr>
          <w:rFonts w:ascii="Arial" w:hAnsi="Arial" w:cs="Arial"/>
        </w:rPr>
        <w:t> </w:t>
      </w:r>
      <w:r w:rsidRPr="00F22C8C">
        <w:t> </w:t>
      </w:r>
    </w:p>
    <w:p w14:paraId="104FEEC9" w14:textId="77777777" w:rsidR="00F22C8C" w:rsidRPr="00F22C8C" w:rsidRDefault="00F22C8C" w:rsidP="00F22C8C">
      <w:pPr>
        <w:numPr>
          <w:ilvl w:val="0"/>
          <w:numId w:val="3"/>
        </w:numPr>
      </w:pPr>
      <w:r w:rsidRPr="00F22C8C">
        <w:rPr>
          <w:b/>
          <w:bCs/>
        </w:rPr>
        <w:t>Impact</w:t>
      </w:r>
      <w:r w:rsidRPr="00F22C8C">
        <w:rPr>
          <w:rFonts w:ascii="Arial" w:hAnsi="Arial" w:cs="Arial"/>
        </w:rPr>
        <w:t> </w:t>
      </w:r>
      <w:r w:rsidRPr="00F22C8C">
        <w:t> </w:t>
      </w:r>
    </w:p>
    <w:p w14:paraId="75696AC1" w14:textId="4B73F693" w:rsidR="008E4A23" w:rsidRDefault="00F22C8C" w:rsidP="00F22C8C">
      <w:r w:rsidRPr="00F22C8C">
        <w:rPr>
          <w:rFonts w:ascii="Arial" w:hAnsi="Arial" w:cs="Arial"/>
        </w:rPr>
        <w:t> </w:t>
      </w:r>
      <w:r w:rsidRPr="00F22C8C">
        <w:t> </w:t>
      </w:r>
      <w:r>
        <w:t xml:space="preserve">We would object and recommend refusal. The proposals would be most detrimental to the character of the house and impact on the wider group and conservation area. </w:t>
      </w:r>
      <w:proofErr w:type="gramStart"/>
      <w:r>
        <w:t>( It</w:t>
      </w:r>
      <w:proofErr w:type="gramEnd"/>
      <w:r>
        <w:t xml:space="preserve"> should be noted that this property is in the </w:t>
      </w:r>
      <w:proofErr w:type="spellStart"/>
      <w:r>
        <w:t>Frithwood</w:t>
      </w:r>
      <w:proofErr w:type="spellEnd"/>
      <w:r>
        <w:t xml:space="preserve"> Conservation Area not the Town Centre Conservation Area as stated in the attached heritage statement</w:t>
      </w:r>
      <w:r w:rsidR="000F0003">
        <w:t>)</w:t>
      </w:r>
      <w:r>
        <w:t>. This was designated specifically to protect the grander higher status dwellings set out during the Edwardian and inter war period with the arrival of the metropolitan railway.</w:t>
      </w:r>
    </w:p>
    <w:p w14:paraId="4BFD2430" w14:textId="77777777" w:rsidR="008E4A23" w:rsidRDefault="008E4A23" w:rsidP="00F22C8C"/>
    <w:p w14:paraId="4040A5FE" w14:textId="18266F2B" w:rsidR="008E4A23" w:rsidRDefault="008E4A23" w:rsidP="00F22C8C">
      <w:r>
        <w:t xml:space="preserve">The property is an excellent example of the type </w:t>
      </w:r>
      <w:proofErr w:type="gramStart"/>
      <w:r>
        <w:t>and also</w:t>
      </w:r>
      <w:proofErr w:type="gramEnd"/>
      <w:r>
        <w:t xml:space="preserve"> forms part of a group of high quality locally listed buildings. </w:t>
      </w:r>
      <w:r w:rsidRPr="008E4A23">
        <w:t xml:space="preserve">Due to its height and width relative to the </w:t>
      </w:r>
      <w:r w:rsidR="007B4F37">
        <w:t>west</w:t>
      </w:r>
      <w:r w:rsidRPr="008E4A23">
        <w:t xml:space="preserve"> elevation the proposed first floor rear extension would </w:t>
      </w:r>
      <w:r>
        <w:t xml:space="preserve">be visually disruptive to the </w:t>
      </w:r>
      <w:r w:rsidR="007B4F37">
        <w:t>dwelling</w:t>
      </w:r>
      <w:r>
        <w:t xml:space="preserve"> and a less considered add on not in keeping with the arts and crafts style of the original. </w:t>
      </w:r>
      <w:r w:rsidRPr="008E4A23">
        <w:t xml:space="preserve"> The lack of any notable features of interest apart from a window on its </w:t>
      </w:r>
      <w:r w:rsidR="007B4F37">
        <w:t>west</w:t>
      </w:r>
      <w:r w:rsidRPr="008E4A23">
        <w:t xml:space="preserve"> elevation would serve to emphasise its bulk and massing</w:t>
      </w:r>
      <w:r>
        <w:t xml:space="preserve"> and coupled with the inappropriate garage and single storey extension to the other flank would have a most detrimental impact. The proposed rear extension is substantial and completely at odds with the existing architecture taking a very paired down neo classical </w:t>
      </w:r>
      <w:proofErr w:type="gramStart"/>
      <w:r>
        <w:t>form .</w:t>
      </w:r>
      <w:proofErr w:type="gramEnd"/>
      <w:r>
        <w:t xml:space="preserve"> This would u</w:t>
      </w:r>
      <w:r w:rsidRPr="008E4A23">
        <w:t xml:space="preserve">ndermine the appearance of </w:t>
      </w:r>
      <w:r>
        <w:t>the dwelling</w:t>
      </w:r>
      <w:r w:rsidRPr="008E4A23">
        <w:t xml:space="preserve">. </w:t>
      </w:r>
      <w:proofErr w:type="gramStart"/>
      <w:r>
        <w:t xml:space="preserve">It </w:t>
      </w:r>
      <w:r w:rsidRPr="008E4A23">
        <w:t xml:space="preserve"> would</w:t>
      </w:r>
      <w:proofErr w:type="gramEnd"/>
      <w:r w:rsidRPr="008E4A23">
        <w:t xml:space="preserve"> detract from and weaken the positive historic and architectural qualities of</w:t>
      </w:r>
      <w:r>
        <w:t xml:space="preserve"> number 14. In </w:t>
      </w:r>
      <w:proofErr w:type="gramStart"/>
      <w:r>
        <w:t>addition</w:t>
      </w:r>
      <w:proofErr w:type="gramEnd"/>
      <w:r>
        <w:t xml:space="preserve"> the proposed new door position and porch are particularly out of keeping and most harmful failing to respect or respond to the architectural character of the building. </w:t>
      </w:r>
      <w:proofErr w:type="gramStart"/>
      <w:r>
        <w:t>Furthermore</w:t>
      </w:r>
      <w:proofErr w:type="gramEnd"/>
      <w:r>
        <w:t xml:space="preserve"> the addition of numerous rooflights appears not only unnecessary but very visually disruptive to the roofscape. </w:t>
      </w:r>
    </w:p>
    <w:p w14:paraId="6E095697" w14:textId="77777777" w:rsidR="00980D98" w:rsidRDefault="008E4A23" w:rsidP="00F22C8C">
      <w:r w:rsidRPr="008E4A23">
        <w:t xml:space="preserve"> Overall, the proposed development would not be well-integrated </w:t>
      </w:r>
      <w:proofErr w:type="gramStart"/>
      <w:r w:rsidRPr="008E4A23">
        <w:t xml:space="preserve">and </w:t>
      </w:r>
      <w:r>
        <w:t xml:space="preserve"> completely</w:t>
      </w:r>
      <w:proofErr w:type="gramEnd"/>
      <w:r>
        <w:t xml:space="preserve"> fails to </w:t>
      </w:r>
      <w:r w:rsidRPr="008E4A23">
        <w:t>harmon</w:t>
      </w:r>
      <w:r>
        <w:t xml:space="preserve">ise with the </w:t>
      </w:r>
      <w:proofErr w:type="gramStart"/>
      <w:r>
        <w:t>high quality</w:t>
      </w:r>
      <w:proofErr w:type="gramEnd"/>
      <w:r>
        <w:t xml:space="preserve"> architecture of the existing house. </w:t>
      </w:r>
    </w:p>
    <w:p w14:paraId="3C5A505E" w14:textId="3536D998" w:rsidR="00F22C8C" w:rsidRDefault="00980D98" w:rsidP="00F22C8C">
      <w:r w:rsidRPr="00980D98">
        <w:t xml:space="preserve">Consequently, the proposed development would not preserve the character or appearance of the conservation area. As the harm to the character and appearance of the conservation area identified above would not extend beyond the local area, the proposed development would cause less than substantial harm to the significance of </w:t>
      </w:r>
      <w:r w:rsidRPr="00980D98">
        <w:lastRenderedPageBreak/>
        <w:t xml:space="preserve">the conservation area as a designated heritage asset, but nevertheless this harm is of considerable importance and weight. The Framework advises that such harm should be weighed against the public benefits of the proposed development. </w:t>
      </w:r>
      <w:r w:rsidR="00F22C8C">
        <w:t xml:space="preserve"> </w:t>
      </w:r>
      <w:r>
        <w:t xml:space="preserve">It would cause less than substantial harm to the locally listed building at a high level. This is due to the proposals severely denigrating the architectural quality of this fine arts and crafts house. </w:t>
      </w:r>
    </w:p>
    <w:p w14:paraId="5EA1EAD7" w14:textId="77777777" w:rsidR="00F22C8C" w:rsidRDefault="00F22C8C" w:rsidP="00F22C8C"/>
    <w:p w14:paraId="150BF3CD" w14:textId="2A732BBF" w:rsidR="00980D98" w:rsidRPr="00980D98" w:rsidRDefault="00980D98" w:rsidP="00F22C8C">
      <w:pPr>
        <w:rPr>
          <w:b/>
          <w:bCs/>
        </w:rPr>
      </w:pPr>
      <w:r w:rsidRPr="00980D98">
        <w:rPr>
          <w:b/>
          <w:bCs/>
        </w:rPr>
        <w:t>Conclusions</w:t>
      </w:r>
    </w:p>
    <w:p w14:paraId="65883EC1" w14:textId="25343354" w:rsidR="00F22C8C" w:rsidRPr="00F22C8C" w:rsidRDefault="00F22C8C" w:rsidP="00F22C8C">
      <w:r>
        <w:t xml:space="preserve"> </w:t>
      </w:r>
      <w:r w:rsidRPr="00F22C8C">
        <w:t>The Planning (Listed Buildings and Conservation Areas) Act 1990 (as amended) provides at s72(1) that with respect to any buildings or other land in a conservation area, special attention shall be paid to the desirability of preserving or enhancing the character or appearance of that area.</w:t>
      </w:r>
    </w:p>
    <w:p w14:paraId="4B9E5791" w14:textId="4068AD36" w:rsidR="00980D98" w:rsidRDefault="00980D98" w:rsidP="00F22C8C">
      <w:r>
        <w:t xml:space="preserve">The proposal harms the significance of both the designated conservation area and the </w:t>
      </w:r>
      <w:proofErr w:type="spellStart"/>
      <w:r>
        <w:t>non designated</w:t>
      </w:r>
      <w:proofErr w:type="spellEnd"/>
      <w:r>
        <w:t xml:space="preserve"> listed building. There are items put forward in the heritage statement to suggest some </w:t>
      </w:r>
      <w:proofErr w:type="gramStart"/>
      <w:r>
        <w:t>benefit</w:t>
      </w:r>
      <w:proofErr w:type="gramEnd"/>
      <w:r>
        <w:t xml:space="preserve"> but these relate to standard repairs which is not considered a benefit as these need to be regularly undertaken by any homeowner. Some modest energy efficiency savings which has a nominal public benefit. Claims that a house recently marketed at £3million lacks adequate accommodation and could be harmed through the adoption of another viable use seems in the current financial climate exceptionally unlikely.</w:t>
      </w:r>
    </w:p>
    <w:p w14:paraId="4527312E" w14:textId="21C61F57" w:rsidR="00CA1974" w:rsidRDefault="00980D98" w:rsidP="00F22C8C">
      <w:r>
        <w:t xml:space="preserve">We therefore believe that the public benefits do not outweigh the harms and would object and recommend refusal.  </w:t>
      </w:r>
    </w:p>
    <w:sectPr w:rsidR="00CA19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C2CB9"/>
    <w:multiLevelType w:val="multilevel"/>
    <w:tmpl w:val="CC1E5AB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6504E67"/>
    <w:multiLevelType w:val="multilevel"/>
    <w:tmpl w:val="0E4A993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61964AC"/>
    <w:multiLevelType w:val="multilevel"/>
    <w:tmpl w:val="D6CCF0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00647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014215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478245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C8C"/>
    <w:rsid w:val="00036A4B"/>
    <w:rsid w:val="00065E49"/>
    <w:rsid w:val="000F0003"/>
    <w:rsid w:val="004A005A"/>
    <w:rsid w:val="007B4F37"/>
    <w:rsid w:val="007F319E"/>
    <w:rsid w:val="007F5D83"/>
    <w:rsid w:val="008E4A23"/>
    <w:rsid w:val="00980D98"/>
    <w:rsid w:val="009E3B21"/>
    <w:rsid w:val="00BE7EDF"/>
    <w:rsid w:val="00CA1974"/>
    <w:rsid w:val="00F22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0E10B"/>
  <w15:chartTrackingRefBased/>
  <w15:docId w15:val="{22E76885-5E1B-48B8-A1F5-C6394A5FC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2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C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C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C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C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C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C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C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2C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C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C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C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C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C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C8C"/>
    <w:rPr>
      <w:rFonts w:eastAsiaTheme="majorEastAsia" w:cstheme="majorBidi"/>
      <w:color w:val="272727" w:themeColor="text1" w:themeTint="D8"/>
    </w:rPr>
  </w:style>
  <w:style w:type="paragraph" w:styleId="Title">
    <w:name w:val="Title"/>
    <w:basedOn w:val="Normal"/>
    <w:next w:val="Normal"/>
    <w:link w:val="TitleChar"/>
    <w:uiPriority w:val="10"/>
    <w:qFormat/>
    <w:rsid w:val="00F22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C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C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C8C"/>
    <w:pPr>
      <w:spacing w:before="160"/>
      <w:jc w:val="center"/>
    </w:pPr>
    <w:rPr>
      <w:i/>
      <w:iCs/>
      <w:color w:val="404040" w:themeColor="text1" w:themeTint="BF"/>
    </w:rPr>
  </w:style>
  <w:style w:type="character" w:customStyle="1" w:styleId="QuoteChar">
    <w:name w:val="Quote Char"/>
    <w:basedOn w:val="DefaultParagraphFont"/>
    <w:link w:val="Quote"/>
    <w:uiPriority w:val="29"/>
    <w:rsid w:val="00F22C8C"/>
    <w:rPr>
      <w:i/>
      <w:iCs/>
      <w:color w:val="404040" w:themeColor="text1" w:themeTint="BF"/>
    </w:rPr>
  </w:style>
  <w:style w:type="paragraph" w:styleId="ListParagraph">
    <w:name w:val="List Paragraph"/>
    <w:basedOn w:val="Normal"/>
    <w:uiPriority w:val="34"/>
    <w:qFormat/>
    <w:rsid w:val="00F22C8C"/>
    <w:pPr>
      <w:ind w:left="720"/>
      <w:contextualSpacing/>
    </w:pPr>
  </w:style>
  <w:style w:type="character" w:styleId="IntenseEmphasis">
    <w:name w:val="Intense Emphasis"/>
    <w:basedOn w:val="DefaultParagraphFont"/>
    <w:uiPriority w:val="21"/>
    <w:qFormat/>
    <w:rsid w:val="00F22C8C"/>
    <w:rPr>
      <w:i/>
      <w:iCs/>
      <w:color w:val="0F4761" w:themeColor="accent1" w:themeShade="BF"/>
    </w:rPr>
  </w:style>
  <w:style w:type="paragraph" w:styleId="IntenseQuote">
    <w:name w:val="Intense Quote"/>
    <w:basedOn w:val="Normal"/>
    <w:next w:val="Normal"/>
    <w:link w:val="IntenseQuoteChar"/>
    <w:uiPriority w:val="30"/>
    <w:qFormat/>
    <w:rsid w:val="00F22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C8C"/>
    <w:rPr>
      <w:i/>
      <w:iCs/>
      <w:color w:val="0F4761" w:themeColor="accent1" w:themeShade="BF"/>
    </w:rPr>
  </w:style>
  <w:style w:type="character" w:styleId="IntenseReference">
    <w:name w:val="Intense Reference"/>
    <w:basedOn w:val="DefaultParagraphFont"/>
    <w:uiPriority w:val="32"/>
    <w:qFormat/>
    <w:rsid w:val="00F22C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38FE0213DD54DBDB918467BB67D72" ma:contentTypeVersion="15" ma:contentTypeDescription="Create a new document." ma:contentTypeScope="" ma:versionID="a5b82687578336feb232c9ae1155da18">
  <xsd:schema xmlns:xsd="http://www.w3.org/2001/XMLSchema" xmlns:xs="http://www.w3.org/2001/XMLSchema" xmlns:p="http://schemas.microsoft.com/office/2006/metadata/properties" xmlns:ns2="256a03f7-8d11-4c7f-b408-de7d9af00f2d" xmlns:ns3="5876289d-d179-461d-9702-34119a90f44e" xmlns:ns4="654c1485-70ee-4386-9e58-370b65d7d7a3" targetNamespace="http://schemas.microsoft.com/office/2006/metadata/properties" ma:root="true" ma:fieldsID="38796e8b7c71d25bb823c76aa633f749" ns2:_="" ns3:_="" ns4:_="">
    <xsd:import namespace="256a03f7-8d11-4c7f-b408-de7d9af00f2d"/>
    <xsd:import namespace="5876289d-d179-461d-9702-34119a90f44e"/>
    <xsd:import namespace="654c1485-70ee-4386-9e58-370b65d7d7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a03f7-8d11-4c7f-b408-de7d9af00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6289d-d179-461d-9702-34119a90f4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759bec-e2c4-40f3-87f3-3ee13cfbe8fb}" ma:internalName="TaxCatchAll" ma:showField="CatchAllData" ma:web="654c1485-70ee-4386-9e58-370b65d7d7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4c1485-70ee-4386-9e58-370b65d7d7a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76289d-d179-461d-9702-34119a90f44e"/>
    <lcf76f155ced4ddcb4097134ff3c332f xmlns="256a03f7-8d11-4c7f-b408-de7d9af00f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994D2C-23BD-4B32-B165-BA87B44E5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6a03f7-8d11-4c7f-b408-de7d9af00f2d"/>
    <ds:schemaRef ds:uri="5876289d-d179-461d-9702-34119a90f44e"/>
    <ds:schemaRef ds:uri="654c1485-70ee-4386-9e58-370b65d7d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CC434-07C1-44C4-88C7-D358F4196F65}">
  <ds:schemaRefs>
    <ds:schemaRef ds:uri="http://schemas.microsoft.com/sharepoint/v3/contenttype/forms"/>
  </ds:schemaRefs>
</ds:datastoreItem>
</file>

<file path=customXml/itemProps3.xml><?xml version="1.0" encoding="utf-8"?>
<ds:datastoreItem xmlns:ds="http://schemas.openxmlformats.org/officeDocument/2006/customXml" ds:itemID="{34F63615-9B3F-4178-843A-99962D05749C}">
  <ds:schemaRefs>
    <ds:schemaRef ds:uri="http://schemas.microsoft.com/office/2006/metadata/properties"/>
    <ds:schemaRef ds:uri="http://schemas.microsoft.com/office/infopath/2007/PartnerControls"/>
    <ds:schemaRef ds:uri="5876289d-d179-461d-9702-34119a90f44e"/>
    <ds:schemaRef ds:uri="256a03f7-8d11-4c7f-b408-de7d9af00f2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Robertson</dc:creator>
  <cp:keywords/>
  <dc:description/>
  <cp:lastModifiedBy>Neil Robertson</cp:lastModifiedBy>
  <cp:revision>6</cp:revision>
  <dcterms:created xsi:type="dcterms:W3CDTF">2026-09-11T09:04:00Z</dcterms:created>
  <dcterms:modified xsi:type="dcterms:W3CDTF">2026-09-11T15:34:00Z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0x01010031738FE0213DD54DBDB918467BB67D72</vt:lpwstr>
  </property>
  <property fmtid="{D5CDD505-2E9C-101B-9397-08002B2CF9AE}" pid="3" name="MSIP_Label_7a8edf35-91ea-44e1-afab-38c462b39a0c_Enabled">
    <vt:lpwstr>true</vt:lpwstr>
  </property>
  <property fmtid="{D5CDD505-2E9C-101B-9397-08002B2CF9AE}" pid="4" name="MSIP_Label_7a8edf35-91ea-44e1-afab-38c462b39a0c_SetDate">
    <vt:lpwstr>2026-09-11T09:35:19Z</vt:lpwstr>
  </property>
  <property fmtid="{D5CDD505-2E9C-101B-9397-08002B2CF9AE}" pid="5" name="MSIP_Label_7a8edf35-91ea-44e1-afab-38c462b39a0c_Method">
    <vt:lpwstr>Standard</vt:lpwstr>
  </property>
  <property fmtid="{D5CDD505-2E9C-101B-9397-08002B2CF9AE}" pid="6" name="MSIP_Label_7a8edf35-91ea-44e1-afab-38c462b39a0c_Name">
    <vt:lpwstr>Official</vt:lpwstr>
  </property>
  <property fmtid="{D5CDD505-2E9C-101B-9397-08002B2CF9AE}" pid="7" name="MSIP_Label_7a8edf35-91ea-44e1-afab-38c462b39a0c_SiteId">
    <vt:lpwstr>aaacb679-c381-48fb-b320-f9d581ee948f</vt:lpwstr>
  </property>
  <property fmtid="{D5CDD505-2E9C-101B-9397-08002B2CF9AE}" pid="8" name="MSIP_Label_7a8edf35-91ea-44e1-afab-38c462b39a0c_ActionId">
    <vt:lpwstr>392862a5-25d7-403f-a55c-4d01b633c811</vt:lpwstr>
  </property>
  <property fmtid="{D5CDD505-2E9C-101B-9397-08002B2CF9AE}" pid="9" name="MSIP_Label_7a8edf35-91ea-44e1-afab-38c462b39a0c_ContentBits">
    <vt:lpwstr>0</vt:lpwstr>
  </property>
  <property fmtid="{D5CDD505-2E9C-101B-9397-08002B2CF9AE}" pid="10" name="MSIP_Label_7a8edf35-91ea-44e1-afab-38c462b39a0c_Tag">
    <vt:lpwstr>10, 3, 0, 1</vt:lpwstr>
  </property>
  <property fmtid="{D5CDD505-2E9C-101B-9397-08002B2CF9AE}" pid="11" name="MediaServiceImageTags">
    <vt:lpwstr/>
  </property>
</Properties>
</file>