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32227" w14:textId="264F55A7" w:rsidR="00AF31D9" w:rsidRPr="00175D37" w:rsidRDefault="003448EA" w:rsidP="00C90F05">
      <w:pPr>
        <w:tabs>
          <w:tab w:val="left" w:pos="1440"/>
        </w:tabs>
        <w:spacing w:before="40" w:line="360" w:lineRule="auto"/>
        <w:jc w:val="both"/>
        <w:rPr>
          <w:rFonts w:ascii="Arial" w:hAnsi="Arial" w:cs="Arial"/>
          <w:bCs/>
          <w:sz w:val="20"/>
          <w:szCs w:val="20"/>
        </w:rPr>
      </w:pPr>
      <w:r w:rsidRPr="00175D37">
        <w:rPr>
          <w:rFonts w:ascii="Arial" w:hAnsi="Arial" w:cs="Arial"/>
          <w:b/>
          <w:bCs/>
          <w:sz w:val="20"/>
          <w:szCs w:val="20"/>
        </w:rPr>
        <w:t>Job Name</w:t>
      </w:r>
      <w:r w:rsidR="00AF31D9" w:rsidRPr="00175D37">
        <w:rPr>
          <w:rFonts w:ascii="Arial" w:hAnsi="Arial" w:cs="Arial"/>
          <w:b/>
          <w:bCs/>
          <w:sz w:val="20"/>
          <w:szCs w:val="20"/>
        </w:rPr>
        <w:t>:</w:t>
      </w:r>
      <w:r w:rsidR="00AF31D9" w:rsidRPr="00175D37">
        <w:rPr>
          <w:rFonts w:ascii="Arial" w:hAnsi="Arial" w:cs="Arial"/>
          <w:bCs/>
          <w:sz w:val="20"/>
          <w:szCs w:val="20"/>
        </w:rPr>
        <w:tab/>
      </w:r>
      <w:bookmarkStart w:id="0" w:name="meeting_title"/>
      <w:bookmarkEnd w:id="0"/>
      <w:r w:rsidR="000C116B" w:rsidRPr="000C116B">
        <w:rPr>
          <w:rFonts w:ascii="Arial" w:hAnsi="Arial" w:cs="Arial"/>
          <w:sz w:val="20"/>
          <w:szCs w:val="20"/>
        </w:rPr>
        <w:t>Former Canteen Building and Block H, Former Nestle Factory, Hayes</w:t>
      </w:r>
    </w:p>
    <w:p w14:paraId="07B1E593" w14:textId="0846EA09" w:rsidR="00AF31D9" w:rsidRPr="00175D37" w:rsidRDefault="003448EA" w:rsidP="00C90F05">
      <w:pPr>
        <w:tabs>
          <w:tab w:val="left" w:pos="1440"/>
        </w:tabs>
        <w:spacing w:before="40" w:line="360" w:lineRule="auto"/>
        <w:jc w:val="both"/>
        <w:rPr>
          <w:rFonts w:ascii="Arial" w:hAnsi="Arial" w:cs="Arial"/>
          <w:bCs/>
          <w:sz w:val="20"/>
          <w:szCs w:val="20"/>
        </w:rPr>
      </w:pPr>
      <w:r w:rsidRPr="00175D37">
        <w:rPr>
          <w:rFonts w:ascii="Arial" w:hAnsi="Arial" w:cs="Arial"/>
          <w:b/>
          <w:bCs/>
          <w:sz w:val="20"/>
          <w:szCs w:val="20"/>
        </w:rPr>
        <w:t>Job No</w:t>
      </w:r>
      <w:r w:rsidR="00AF31D9" w:rsidRPr="00175D37">
        <w:rPr>
          <w:rFonts w:ascii="Arial" w:hAnsi="Arial" w:cs="Arial"/>
          <w:b/>
          <w:bCs/>
          <w:sz w:val="20"/>
          <w:szCs w:val="20"/>
        </w:rPr>
        <w:t>:</w:t>
      </w:r>
      <w:r w:rsidR="00AF31D9" w:rsidRPr="00175D37">
        <w:rPr>
          <w:rFonts w:ascii="Arial" w:hAnsi="Arial" w:cs="Arial"/>
          <w:bCs/>
          <w:sz w:val="20"/>
          <w:szCs w:val="20"/>
        </w:rPr>
        <w:tab/>
      </w:r>
      <w:bookmarkStart w:id="1" w:name="attendees"/>
      <w:bookmarkEnd w:id="1"/>
      <w:r w:rsidR="00A04925">
        <w:rPr>
          <w:rFonts w:ascii="Arial" w:hAnsi="Arial" w:cs="Arial"/>
          <w:sz w:val="20"/>
          <w:szCs w:val="20"/>
        </w:rPr>
        <w:t>332511069</w:t>
      </w:r>
    </w:p>
    <w:p w14:paraId="4EC0DCBE" w14:textId="23A4A76B" w:rsidR="006B24BD" w:rsidRPr="00175D37" w:rsidRDefault="003448EA" w:rsidP="00C90F05">
      <w:pPr>
        <w:tabs>
          <w:tab w:val="left" w:pos="1440"/>
        </w:tabs>
        <w:spacing w:before="40" w:line="360" w:lineRule="auto"/>
        <w:jc w:val="both"/>
        <w:rPr>
          <w:rFonts w:ascii="Arial" w:hAnsi="Arial" w:cs="Arial"/>
          <w:bCs/>
          <w:sz w:val="20"/>
          <w:szCs w:val="20"/>
        </w:rPr>
      </w:pPr>
      <w:r w:rsidRPr="00175D37">
        <w:rPr>
          <w:rFonts w:ascii="Arial" w:hAnsi="Arial" w:cs="Arial"/>
          <w:b/>
          <w:bCs/>
          <w:sz w:val="20"/>
          <w:szCs w:val="20"/>
        </w:rPr>
        <w:t>Note No</w:t>
      </w:r>
      <w:r w:rsidR="006B24BD" w:rsidRPr="00175D37">
        <w:rPr>
          <w:rFonts w:ascii="Arial" w:hAnsi="Arial" w:cs="Arial"/>
          <w:b/>
          <w:bCs/>
          <w:sz w:val="20"/>
          <w:szCs w:val="20"/>
        </w:rPr>
        <w:t>:</w:t>
      </w:r>
      <w:r w:rsidR="00B95496" w:rsidRPr="00175D37">
        <w:rPr>
          <w:rFonts w:ascii="Arial" w:hAnsi="Arial" w:cs="Arial"/>
          <w:bCs/>
          <w:sz w:val="20"/>
          <w:szCs w:val="20"/>
        </w:rPr>
        <w:tab/>
      </w:r>
      <w:bookmarkStart w:id="2" w:name="apologies"/>
      <w:bookmarkEnd w:id="2"/>
      <w:r w:rsidR="00FE3B23" w:rsidRPr="00175D37">
        <w:rPr>
          <w:rFonts w:ascii="Arial" w:hAnsi="Arial" w:cs="Arial"/>
          <w:bCs/>
          <w:sz w:val="20"/>
          <w:szCs w:val="20"/>
        </w:rPr>
        <w:t>0</w:t>
      </w:r>
      <w:r w:rsidR="00BE1518">
        <w:rPr>
          <w:rFonts w:ascii="Arial" w:hAnsi="Arial" w:cs="Arial"/>
          <w:bCs/>
          <w:sz w:val="20"/>
          <w:szCs w:val="20"/>
        </w:rPr>
        <w:t>0</w:t>
      </w:r>
      <w:r w:rsidR="00163284">
        <w:rPr>
          <w:rFonts w:ascii="Arial" w:hAnsi="Arial" w:cs="Arial"/>
          <w:bCs/>
          <w:sz w:val="20"/>
          <w:szCs w:val="20"/>
        </w:rPr>
        <w:t>2</w:t>
      </w:r>
    </w:p>
    <w:p w14:paraId="57E14288" w14:textId="72EF97EC" w:rsidR="00AF31D9" w:rsidRPr="00175D37" w:rsidRDefault="003448EA" w:rsidP="00C90F05">
      <w:pPr>
        <w:tabs>
          <w:tab w:val="left" w:pos="1440"/>
        </w:tabs>
        <w:spacing w:before="40" w:line="360" w:lineRule="auto"/>
        <w:jc w:val="both"/>
        <w:rPr>
          <w:rFonts w:ascii="Arial" w:hAnsi="Arial" w:cs="Arial"/>
          <w:bCs/>
          <w:sz w:val="20"/>
          <w:szCs w:val="20"/>
        </w:rPr>
      </w:pPr>
      <w:r w:rsidRPr="00175D37">
        <w:rPr>
          <w:rFonts w:ascii="Arial" w:hAnsi="Arial" w:cs="Arial"/>
          <w:b/>
          <w:bCs/>
          <w:sz w:val="20"/>
          <w:szCs w:val="20"/>
        </w:rPr>
        <w:t>Date</w:t>
      </w:r>
      <w:r w:rsidR="00AF31D9" w:rsidRPr="00175D37">
        <w:rPr>
          <w:rFonts w:ascii="Arial" w:hAnsi="Arial" w:cs="Arial"/>
          <w:b/>
          <w:bCs/>
          <w:sz w:val="20"/>
          <w:szCs w:val="20"/>
        </w:rPr>
        <w:t>:</w:t>
      </w:r>
      <w:r w:rsidR="00AF31D9" w:rsidRPr="00175D37">
        <w:rPr>
          <w:rFonts w:ascii="Arial" w:hAnsi="Arial" w:cs="Arial"/>
          <w:bCs/>
          <w:sz w:val="20"/>
          <w:szCs w:val="20"/>
        </w:rPr>
        <w:tab/>
      </w:r>
      <w:bookmarkStart w:id="3" w:name="cc"/>
      <w:bookmarkEnd w:id="3"/>
      <w:r w:rsidR="00163284">
        <w:rPr>
          <w:rFonts w:ascii="Arial" w:hAnsi="Arial" w:cs="Arial"/>
          <w:bCs/>
          <w:sz w:val="20"/>
          <w:szCs w:val="20"/>
        </w:rPr>
        <w:t>December</w:t>
      </w:r>
      <w:r w:rsidR="00726E11">
        <w:rPr>
          <w:rFonts w:ascii="Arial" w:hAnsi="Arial" w:cs="Arial"/>
          <w:bCs/>
          <w:sz w:val="20"/>
          <w:szCs w:val="20"/>
        </w:rPr>
        <w:t xml:space="preserve"> 2022</w:t>
      </w:r>
    </w:p>
    <w:p w14:paraId="77C24F9E" w14:textId="5410D72C" w:rsidR="00AF31D9" w:rsidRPr="00175D37" w:rsidRDefault="003448EA" w:rsidP="00C90F05">
      <w:pPr>
        <w:tabs>
          <w:tab w:val="left" w:pos="1440"/>
        </w:tabs>
        <w:spacing w:before="40" w:line="360" w:lineRule="auto"/>
        <w:jc w:val="both"/>
        <w:rPr>
          <w:rFonts w:ascii="Arial" w:hAnsi="Arial" w:cs="Arial"/>
          <w:bCs/>
          <w:sz w:val="20"/>
          <w:szCs w:val="20"/>
        </w:rPr>
      </w:pPr>
      <w:r w:rsidRPr="00175D37">
        <w:rPr>
          <w:rFonts w:ascii="Arial" w:hAnsi="Arial" w:cs="Arial"/>
          <w:b/>
          <w:bCs/>
          <w:sz w:val="20"/>
          <w:szCs w:val="20"/>
        </w:rPr>
        <w:t>Prepared By</w:t>
      </w:r>
      <w:r w:rsidR="00AF31D9" w:rsidRPr="00175D37">
        <w:rPr>
          <w:rFonts w:ascii="Arial" w:hAnsi="Arial" w:cs="Arial"/>
          <w:b/>
          <w:bCs/>
          <w:sz w:val="20"/>
          <w:szCs w:val="20"/>
        </w:rPr>
        <w:t>:</w:t>
      </w:r>
      <w:r w:rsidR="00AF31D9" w:rsidRPr="00175D37">
        <w:rPr>
          <w:rFonts w:ascii="Arial" w:hAnsi="Arial" w:cs="Arial"/>
          <w:bCs/>
          <w:sz w:val="20"/>
          <w:szCs w:val="20"/>
        </w:rPr>
        <w:tab/>
      </w:r>
      <w:bookmarkStart w:id="4" w:name="date_of_meeting"/>
      <w:bookmarkEnd w:id="4"/>
      <w:r w:rsidR="00A163F6">
        <w:rPr>
          <w:rFonts w:ascii="Arial" w:hAnsi="Arial" w:cs="Arial"/>
          <w:bCs/>
          <w:sz w:val="20"/>
          <w:szCs w:val="20"/>
        </w:rPr>
        <w:t>Chris Brownlie</w:t>
      </w:r>
    </w:p>
    <w:p w14:paraId="74755608" w14:textId="2E823813" w:rsidR="0057261B" w:rsidRPr="00175D37" w:rsidRDefault="003448EA" w:rsidP="00C90F05">
      <w:pPr>
        <w:pBdr>
          <w:bottom w:val="single" w:sz="12" w:space="1" w:color="auto"/>
        </w:pBdr>
        <w:tabs>
          <w:tab w:val="left" w:pos="1440"/>
        </w:tabs>
        <w:spacing w:before="40" w:line="360" w:lineRule="auto"/>
        <w:jc w:val="both"/>
        <w:rPr>
          <w:rFonts w:ascii="Arial" w:hAnsi="Arial" w:cs="Arial"/>
          <w:b/>
          <w:bCs/>
          <w:sz w:val="20"/>
          <w:szCs w:val="20"/>
        </w:rPr>
      </w:pPr>
      <w:r w:rsidRPr="00175D37">
        <w:rPr>
          <w:rFonts w:ascii="Arial" w:hAnsi="Arial" w:cs="Arial"/>
          <w:b/>
          <w:bCs/>
          <w:sz w:val="20"/>
          <w:szCs w:val="20"/>
        </w:rPr>
        <w:t>Subject:</w:t>
      </w:r>
      <w:r w:rsidR="005F5412" w:rsidRPr="00175D37">
        <w:rPr>
          <w:rFonts w:ascii="Arial" w:hAnsi="Arial" w:cs="Arial"/>
          <w:b/>
          <w:bCs/>
          <w:sz w:val="20"/>
          <w:szCs w:val="20"/>
        </w:rPr>
        <w:tab/>
      </w:r>
      <w:r w:rsidR="00EC219E" w:rsidRPr="00175D37">
        <w:rPr>
          <w:rFonts w:ascii="Arial" w:hAnsi="Arial" w:cs="Arial"/>
          <w:b/>
          <w:bCs/>
          <w:sz w:val="20"/>
          <w:szCs w:val="20"/>
        </w:rPr>
        <w:t>A</w:t>
      </w:r>
      <w:r w:rsidR="00FE3B23" w:rsidRPr="00175D37">
        <w:rPr>
          <w:rFonts w:ascii="Arial" w:hAnsi="Arial" w:cs="Arial"/>
          <w:b/>
          <w:bCs/>
          <w:sz w:val="20"/>
          <w:szCs w:val="20"/>
        </w:rPr>
        <w:t xml:space="preserve">ir Quality </w:t>
      </w:r>
      <w:r w:rsidR="00726E11">
        <w:rPr>
          <w:rFonts w:ascii="Arial" w:hAnsi="Arial" w:cs="Arial"/>
          <w:b/>
          <w:bCs/>
          <w:sz w:val="20"/>
          <w:szCs w:val="20"/>
        </w:rPr>
        <w:t>Technical</w:t>
      </w:r>
      <w:r w:rsidR="00EC219E" w:rsidRPr="00175D37">
        <w:rPr>
          <w:rFonts w:ascii="Arial" w:hAnsi="Arial" w:cs="Arial"/>
          <w:b/>
          <w:bCs/>
          <w:sz w:val="20"/>
          <w:szCs w:val="20"/>
        </w:rPr>
        <w:t xml:space="preserve"> Note</w:t>
      </w:r>
      <w:r w:rsidR="005F5412" w:rsidRPr="00175D37">
        <w:rPr>
          <w:rFonts w:ascii="Arial" w:hAnsi="Arial" w:cs="Arial"/>
          <w:b/>
          <w:bCs/>
          <w:sz w:val="20"/>
          <w:szCs w:val="20"/>
        </w:rPr>
        <w:t xml:space="preserve"> </w:t>
      </w:r>
    </w:p>
    <w:p w14:paraId="46728505" w14:textId="348374D0" w:rsidR="00A742DB" w:rsidRPr="00BE1518" w:rsidRDefault="005F5412" w:rsidP="00C90F05">
      <w:pPr>
        <w:pStyle w:val="Heading2"/>
        <w:jc w:val="both"/>
      </w:pPr>
      <w:r w:rsidRPr="00BE1518">
        <w:t>Introduction</w:t>
      </w:r>
    </w:p>
    <w:p w14:paraId="3F3DD62D" w14:textId="18B8D910" w:rsidR="00175D37" w:rsidRPr="00BE1518" w:rsidRDefault="00544674" w:rsidP="00C90F05">
      <w:pPr>
        <w:pStyle w:val="NumberedParagraph"/>
        <w:ind w:left="709" w:hanging="709"/>
        <w:jc w:val="both"/>
      </w:pPr>
      <w:r w:rsidRPr="00BE1518">
        <w:t xml:space="preserve">Stantec UK Limited has been commissioned </w:t>
      </w:r>
      <w:r w:rsidR="0097017D" w:rsidRPr="00BE1518">
        <w:t xml:space="preserve">to carry out an air quality assessment for the Development of </w:t>
      </w:r>
      <w:r w:rsidR="00AB6E44" w:rsidRPr="00BE1518">
        <w:t>the former canteen building to provide a new healthcare facility (Class E(e)</w:t>
      </w:r>
      <w:r w:rsidR="00F33426" w:rsidRPr="00BE1518">
        <w:t>)</w:t>
      </w:r>
      <w:r w:rsidR="00AB6E44" w:rsidRPr="00BE1518">
        <w:t>, nursery (Class E(f)</w:t>
      </w:r>
      <w:r w:rsidR="00F33426" w:rsidRPr="00BE1518">
        <w:t>)</w:t>
      </w:r>
      <w:r w:rsidR="00AB6E44" w:rsidRPr="00BE1518">
        <w:t xml:space="preserve"> and reconfigured residential building (Block H) (Class C3</w:t>
      </w:r>
      <w:r w:rsidR="004670DD" w:rsidRPr="00BE1518">
        <w:t xml:space="preserve"> and Class E</w:t>
      </w:r>
      <w:r w:rsidR="00AB6E44" w:rsidRPr="00BE1518">
        <w:t>), including associated landscaping, access, car parking and other engineering works.</w:t>
      </w:r>
    </w:p>
    <w:p w14:paraId="6290B6D9" w14:textId="6F24B6BB" w:rsidR="0097017D" w:rsidRPr="00BE1518" w:rsidRDefault="0097017D" w:rsidP="0097017D">
      <w:pPr>
        <w:pStyle w:val="Heading2"/>
        <w:jc w:val="both"/>
      </w:pPr>
      <w:r w:rsidRPr="00BE1518">
        <w:t>Planning History</w:t>
      </w:r>
    </w:p>
    <w:p w14:paraId="51B8AB16" w14:textId="16CD66BE" w:rsidR="0097017D" w:rsidRPr="00BE1518" w:rsidRDefault="00E133FD" w:rsidP="00C90F05">
      <w:pPr>
        <w:pStyle w:val="NumberedParagraph"/>
        <w:ind w:left="709" w:hanging="709"/>
        <w:jc w:val="both"/>
      </w:pPr>
      <w:r w:rsidRPr="00BE1518">
        <w:t>Planning permission was initially granted for the Application Site of 28 June 2018</w:t>
      </w:r>
      <w:r w:rsidR="0097017D" w:rsidRPr="00BE1518">
        <w:t xml:space="preserve"> (re</w:t>
      </w:r>
      <w:r w:rsidRPr="00BE1518">
        <w:t>f.</w:t>
      </w:r>
      <w:r w:rsidR="0097017D" w:rsidRPr="00BE1518">
        <w:t>1331/APP/2017/1883) 1 for ‘</w:t>
      </w:r>
      <w:r w:rsidR="0097017D" w:rsidRPr="00BE1518">
        <w:rPr>
          <w:i/>
          <w:iCs/>
        </w:rPr>
        <w:t>Part demolition of existing factory buildings and associated structures, and redevelopment to provide 1,386 dwellings (Use Class C3), office, retail, community and leisure uses (Use Class A1/A3/A4/B1/B8/D1/D2), 22,663sq.m (GEA) of commercial floorspace (Use Classes B1c/B2/B8 and Data Centre (sui generis)), amenity and playspace, landscaping, allotments, access, service yards, associated car parking and other engineering works’</w:t>
      </w:r>
      <w:r w:rsidR="0097017D" w:rsidRPr="00BE1518">
        <w:t>.</w:t>
      </w:r>
    </w:p>
    <w:p w14:paraId="34C10A7C" w14:textId="4BF8AAE6" w:rsidR="0097017D" w:rsidRPr="00BE1518" w:rsidRDefault="0097017D" w:rsidP="00C90F05">
      <w:pPr>
        <w:pStyle w:val="NumberedParagraph"/>
        <w:ind w:left="709" w:hanging="709"/>
        <w:jc w:val="both"/>
      </w:pPr>
      <w:r w:rsidRPr="00BE1518">
        <w:t xml:space="preserve">Following this, two Section 73 (S73) applications were granted. The first (ref.1331/APP/2019/1666) for the residential land was granted on </w:t>
      </w:r>
      <w:r w:rsidR="00494832" w:rsidRPr="00BE1518">
        <w:t>11 September 2020</w:t>
      </w:r>
      <w:r w:rsidRPr="00BE1518">
        <w:t xml:space="preserve">. The description of development for this application as follows: </w:t>
      </w:r>
    </w:p>
    <w:p w14:paraId="6EDB1879" w14:textId="583958C8" w:rsidR="001457B3" w:rsidRPr="00BE1518" w:rsidRDefault="001457B3" w:rsidP="001457B3">
      <w:pPr>
        <w:pStyle w:val="NumberedParagraph"/>
        <w:numPr>
          <w:ilvl w:val="0"/>
          <w:numId w:val="0"/>
        </w:numPr>
        <w:ind w:left="709"/>
        <w:jc w:val="both"/>
        <w:rPr>
          <w:i/>
          <w:iCs/>
        </w:rPr>
      </w:pPr>
      <w:r w:rsidRPr="00BE1518">
        <w:rPr>
          <w:i/>
          <w:iCs/>
        </w:rPr>
        <w:t>“Section 73 application to vary Condition 9 (residential condition – approved plans) of planning permission ref</w:t>
      </w:r>
      <w:r w:rsidR="00AB6E44" w:rsidRPr="00BE1518">
        <w:rPr>
          <w:i/>
          <w:iCs/>
        </w:rPr>
        <w:t>.</w:t>
      </w:r>
      <w:r w:rsidRPr="00BE1518">
        <w:rPr>
          <w:i/>
          <w:iCs/>
        </w:rPr>
        <w:t>1</w:t>
      </w:r>
      <w:r w:rsidR="00AB6E44" w:rsidRPr="00BE1518">
        <w:rPr>
          <w:i/>
          <w:iCs/>
        </w:rPr>
        <w:t>3</w:t>
      </w:r>
      <w:r w:rsidRPr="00BE1518">
        <w:rPr>
          <w:i/>
          <w:iCs/>
        </w:rPr>
        <w:t>31/APP/2017/1883 dated 28/06/2018 (part demolition of existing factory building and associated structures and redevelopment t</w:t>
      </w:r>
      <w:r w:rsidR="00514CAC" w:rsidRPr="00BE1518">
        <w:rPr>
          <w:i/>
          <w:iCs/>
        </w:rPr>
        <w:t>o</w:t>
      </w:r>
      <w:r w:rsidRPr="00BE1518">
        <w:rPr>
          <w:i/>
          <w:iCs/>
        </w:rPr>
        <w:t xml:space="preserve"> provide residential dwellings (Class C3), office, retail, community and leisure uses (Classes A1/A3/A4/B1/B8/D1/D2), commercial floorspace (Classes B1c/B2/B8 and Data Centre (sui Generis)), amenity and playspace, landscaping, allotments, access, service yards, associated car parking and other engineering works) (as amended by application ref 1331/APP/2020/50 dated 06/02/20).”</w:t>
      </w:r>
    </w:p>
    <w:p w14:paraId="65A4672E" w14:textId="4D157E0E" w:rsidR="0097017D" w:rsidRPr="00BE1518" w:rsidRDefault="0097017D" w:rsidP="00C90F05">
      <w:pPr>
        <w:pStyle w:val="NumberedParagraph"/>
        <w:ind w:left="709" w:hanging="709"/>
        <w:jc w:val="both"/>
      </w:pPr>
      <w:r w:rsidRPr="00BE1518">
        <w:t>The second S73 application (ref.1331/APP 2021/751) was granted on 10 November 2021 for the following:</w:t>
      </w:r>
    </w:p>
    <w:p w14:paraId="0F455BA1" w14:textId="727C91AB" w:rsidR="0097017D" w:rsidRPr="00BE1518" w:rsidRDefault="00AB6E44" w:rsidP="001457B3">
      <w:pPr>
        <w:pStyle w:val="NumberedParagraph"/>
        <w:numPr>
          <w:ilvl w:val="0"/>
          <w:numId w:val="0"/>
        </w:numPr>
        <w:ind w:left="709"/>
        <w:jc w:val="both"/>
        <w:rPr>
          <w:i/>
          <w:iCs/>
        </w:rPr>
      </w:pPr>
      <w:r w:rsidRPr="00BE1518">
        <w:rPr>
          <w:i/>
          <w:iCs/>
        </w:rPr>
        <w:t xml:space="preserve">“Section 73 application seeking a variation to condition 61 (approved drawings) of planning permission ref.1331/APP/2019/1666 dated 11-09-20 (Section 73 application to vary Condition 9 (residential condition – approved plans) of </w:t>
      </w:r>
      <w:r w:rsidR="00E133FD" w:rsidRPr="00BE1518">
        <w:rPr>
          <w:i/>
          <w:iCs/>
        </w:rPr>
        <w:t>planning</w:t>
      </w:r>
      <w:r w:rsidRPr="00BE1518">
        <w:rPr>
          <w:i/>
          <w:iCs/>
        </w:rPr>
        <w:t xml:space="preserve"> permission ref.1331.APP/2017/1883 dated 28/06/2018 (part demolition of existing factory building and associated structures and redevelopment to provide residential dwellings (Class C3), office, retail, community and leisure uses (Classes A1/A3/A4/B1/B8/D1/D2), commercial floorspace (Classes B1c/B2/B8 and Data Centre (Sui Generis)), amenity and playspace, landscaping</w:t>
      </w:r>
      <w:r w:rsidR="00E133FD" w:rsidRPr="00BE1518">
        <w:rPr>
          <w:i/>
          <w:iCs/>
        </w:rPr>
        <w:t xml:space="preserve">, allotments, access, service yards, associated car </w:t>
      </w:r>
      <w:r w:rsidR="00E133FD" w:rsidRPr="00BE1518">
        <w:rPr>
          <w:i/>
          <w:iCs/>
        </w:rPr>
        <w:lastRenderedPageBreak/>
        <w:t>parking and other engineering works) (as amended by application ref.1331/APP/2020/50 dated 06/02/20).”</w:t>
      </w:r>
    </w:p>
    <w:p w14:paraId="050C54F8" w14:textId="4C91BFD1" w:rsidR="0097017D" w:rsidRPr="00BE1518" w:rsidRDefault="00AB6E44" w:rsidP="00C90F05">
      <w:pPr>
        <w:pStyle w:val="NumberedParagraph"/>
        <w:ind w:left="709" w:hanging="709"/>
        <w:jc w:val="both"/>
      </w:pPr>
      <w:r w:rsidRPr="00BE1518">
        <w:t xml:space="preserve">This planning permission replaces the original and became the ‘operational consent’. </w:t>
      </w:r>
      <w:r w:rsidR="0097017D" w:rsidRPr="00BE1518">
        <w:t>The original planning permission included the refurbishment of the Canteen building which was connected to residential Block H by the retained colonnade. It also included flexible community uses for the Canteen building as well as 20 parking spaces.</w:t>
      </w:r>
    </w:p>
    <w:p w14:paraId="7974C136" w14:textId="577BB285" w:rsidR="00E133FD" w:rsidRPr="00BE1518" w:rsidRDefault="0097017D" w:rsidP="00E133FD">
      <w:pPr>
        <w:pStyle w:val="NumberedParagraph"/>
        <w:ind w:left="709" w:hanging="709"/>
        <w:jc w:val="both"/>
      </w:pPr>
      <w:r w:rsidRPr="00BE1518">
        <w:t xml:space="preserve">A ‘drop-in’ application </w:t>
      </w:r>
      <w:r w:rsidR="00A945D7" w:rsidRPr="00BE1518">
        <w:t>was</w:t>
      </w:r>
      <w:r w:rsidRPr="00BE1518">
        <w:t xml:space="preserve"> approved (ref.1331/APP/2019/2314) </w:t>
      </w:r>
      <w:r w:rsidR="00A945D7" w:rsidRPr="00BE1518">
        <w:t>in</w:t>
      </w:r>
      <w:r w:rsidRPr="00BE1518">
        <w:t xml:space="preserve"> June 2021 for the </w:t>
      </w:r>
      <w:r w:rsidR="001457B3" w:rsidRPr="00BE1518">
        <w:rPr>
          <w:i/>
          <w:iCs/>
        </w:rPr>
        <w:t>“Development of 4no. new buildings comprising residential units (in addition to those approved under planning permission ref. 1331/APP/2017/1883) a basement extension to Block B, flexible commercial uses (Class E) and associated landscaping, access, car parking and other engineering works.”</w:t>
      </w:r>
      <w:r w:rsidR="00E133FD" w:rsidRPr="00BE1518">
        <w:t xml:space="preserve"> This application included Block H and contained 35 Discounted Market Sales units.</w:t>
      </w:r>
    </w:p>
    <w:p w14:paraId="09EB6C6D" w14:textId="024C346B" w:rsidR="00ED201F" w:rsidRPr="00BE1518" w:rsidRDefault="00C80948" w:rsidP="005E25FD">
      <w:pPr>
        <w:pStyle w:val="NumberedParagraph"/>
        <w:ind w:left="709" w:hanging="709"/>
        <w:jc w:val="both"/>
      </w:pPr>
      <w:r w:rsidRPr="00BE1518">
        <w:t xml:space="preserve">This technical note assesses the potential air quality impacts of the </w:t>
      </w:r>
      <w:r w:rsidR="000B4F5F" w:rsidRPr="00BE1518">
        <w:t xml:space="preserve">41 </w:t>
      </w:r>
      <w:r w:rsidR="00B85FE6" w:rsidRPr="00BE1518">
        <w:t xml:space="preserve">residential </w:t>
      </w:r>
      <w:r w:rsidRPr="00BE1518">
        <w:t>units</w:t>
      </w:r>
      <w:r w:rsidR="000B4F5F" w:rsidRPr="00BE1518">
        <w:t xml:space="preserve"> (</w:t>
      </w:r>
      <w:proofErr w:type="gramStart"/>
      <w:r w:rsidR="000B4F5F" w:rsidRPr="00BE1518">
        <w:t>i.e.</w:t>
      </w:r>
      <w:proofErr w:type="gramEnd"/>
      <w:r w:rsidR="000B4F5F" w:rsidRPr="00BE1518">
        <w:t xml:space="preserve"> six additional units) </w:t>
      </w:r>
      <w:r w:rsidR="004670DD" w:rsidRPr="00BE1518">
        <w:t>and proposed flexible uses including a healthcare centre and nursery and present</w:t>
      </w:r>
      <w:r w:rsidR="00C350F7" w:rsidRPr="00BE1518">
        <w:t>s</w:t>
      </w:r>
      <w:r w:rsidR="004670DD" w:rsidRPr="00BE1518">
        <w:t xml:space="preserve"> a comparison with the approved planning permission</w:t>
      </w:r>
      <w:r w:rsidRPr="00BE1518">
        <w:t xml:space="preserve">. This Technical </w:t>
      </w:r>
      <w:r w:rsidR="00A945D7" w:rsidRPr="00BE1518">
        <w:t>N</w:t>
      </w:r>
      <w:r w:rsidRPr="00BE1518">
        <w:t xml:space="preserve">ote should be read in conjunction with Chapter </w:t>
      </w:r>
      <w:r w:rsidR="00EF73C4" w:rsidRPr="00BE1518">
        <w:t>10</w:t>
      </w:r>
      <w:r w:rsidR="00EF73C4" w:rsidRPr="00BE1518">
        <w:rPr>
          <w:rStyle w:val="FootnoteReference"/>
        </w:rPr>
        <w:footnoteReference w:id="1"/>
      </w:r>
      <w:r w:rsidRPr="00BE1518">
        <w:t xml:space="preserve"> of the 20</w:t>
      </w:r>
      <w:r w:rsidR="00074296" w:rsidRPr="00BE1518">
        <w:t>20</w:t>
      </w:r>
      <w:r w:rsidRPr="00BE1518">
        <w:t xml:space="preserve"> ES submitted for the</w:t>
      </w:r>
      <w:r w:rsidR="00761F7A" w:rsidRPr="00BE1518">
        <w:t xml:space="preserve"> ‘drop-in’</w:t>
      </w:r>
      <w:r w:rsidRPr="00BE1518">
        <w:t xml:space="preserve"> planning application </w:t>
      </w:r>
      <w:r w:rsidR="00EF73C4" w:rsidRPr="00BE1518">
        <w:t>1331/APP/2019/2314</w:t>
      </w:r>
      <w:r w:rsidRPr="00BE1518">
        <w:t>.</w:t>
      </w:r>
    </w:p>
    <w:p w14:paraId="0A980449" w14:textId="6F368722" w:rsidR="004C50F3" w:rsidRPr="00BE1518" w:rsidRDefault="004C50F3" w:rsidP="00A913B1">
      <w:pPr>
        <w:pStyle w:val="Heading2"/>
        <w:jc w:val="both"/>
      </w:pPr>
      <w:r w:rsidRPr="00BE1518">
        <w:t>Baseline Environment</w:t>
      </w:r>
    </w:p>
    <w:p w14:paraId="0099BD0D" w14:textId="750F7F52" w:rsidR="00074296" w:rsidRPr="00BE1518" w:rsidRDefault="004C50F3" w:rsidP="00074296">
      <w:pPr>
        <w:pStyle w:val="NumberedParagraph"/>
        <w:ind w:left="709" w:hanging="709"/>
        <w:jc w:val="both"/>
      </w:pPr>
      <w:r w:rsidRPr="00BE1518">
        <w:t>The existing air quality conditions at the Site (as reported in LBH Annual Status Reports</w:t>
      </w:r>
      <w:r w:rsidRPr="00BE1518">
        <w:rPr>
          <w:vertAlign w:val="superscript"/>
        </w:rPr>
        <w:footnoteReference w:id="2"/>
      </w:r>
      <w:r w:rsidRPr="00BE1518">
        <w:t>) are considered to remain as those identified within the 20</w:t>
      </w:r>
      <w:r w:rsidR="00074296" w:rsidRPr="00BE1518">
        <w:t>20</w:t>
      </w:r>
      <w:r w:rsidRPr="00BE1518">
        <w:t xml:space="preserve"> air quality assessment, with some reduction in NO</w:t>
      </w:r>
      <w:r w:rsidRPr="00BE1518">
        <w:rPr>
          <w:vertAlign w:val="subscript"/>
        </w:rPr>
        <w:t>2</w:t>
      </w:r>
      <w:r w:rsidRPr="00BE1518">
        <w:t xml:space="preserve"> concentrations apparent between 2014 and 2019. While 2020 monitoring results are available, these are not considered to be representative due to COVID-19 restrictions in place during 2020 and have therefore not been considered.</w:t>
      </w:r>
    </w:p>
    <w:p w14:paraId="17B3AFEE" w14:textId="5673D4A7" w:rsidR="00074296" w:rsidRPr="00BE1518" w:rsidRDefault="00074296" w:rsidP="00A913B1">
      <w:pPr>
        <w:pStyle w:val="Heading2"/>
        <w:jc w:val="both"/>
      </w:pPr>
      <w:r w:rsidRPr="00BE1518">
        <w:t>Construction Dust Impacts</w:t>
      </w:r>
    </w:p>
    <w:p w14:paraId="75B53B53" w14:textId="4A800999" w:rsidR="00074296" w:rsidRPr="00BE1518" w:rsidRDefault="00074296" w:rsidP="00074296">
      <w:pPr>
        <w:pStyle w:val="NumberedParagraph"/>
        <w:ind w:left="709" w:hanging="709"/>
        <w:jc w:val="both"/>
      </w:pPr>
      <w:r w:rsidRPr="00BE1518">
        <w:t>The potential construction dust impacts associated with the proposed development are not considered to be significantly different to those detailed in the 2020 air quality assessment</w:t>
      </w:r>
      <w:r w:rsidR="00D04C73" w:rsidRPr="00BE1518">
        <w:t>, which identified the site as ‘high risk’</w:t>
      </w:r>
      <w:r w:rsidRPr="00BE1518">
        <w:t xml:space="preserve"> and a range of mitigation measures will be employed to ensure effective mitigation. Therefore, the potential construction dust impacts from</w:t>
      </w:r>
      <w:r w:rsidR="00A945D7" w:rsidRPr="00BE1518">
        <w:t xml:space="preserve"> the</w:t>
      </w:r>
      <w:r w:rsidRPr="00BE1518">
        <w:t xml:space="preserve"> proposed development are not considered to have altered to such an extent as to affect the findings of the 2020 air quality assessment.</w:t>
      </w:r>
    </w:p>
    <w:p w14:paraId="2EE3DEDB" w14:textId="24F64B4E" w:rsidR="00A913B1" w:rsidRPr="00BE1518" w:rsidRDefault="0012444E" w:rsidP="00A913B1">
      <w:pPr>
        <w:pStyle w:val="Heading2"/>
        <w:jc w:val="both"/>
      </w:pPr>
      <w:r w:rsidRPr="00BE1518">
        <w:t xml:space="preserve">Road Traffic Impacts </w:t>
      </w:r>
    </w:p>
    <w:p w14:paraId="0DAB664D" w14:textId="7302E0FA" w:rsidR="00A913B1" w:rsidRPr="00BE1518" w:rsidRDefault="0012444E" w:rsidP="005E25FD">
      <w:pPr>
        <w:pStyle w:val="NumberedParagraph"/>
        <w:ind w:left="709" w:hanging="709"/>
        <w:jc w:val="both"/>
      </w:pPr>
      <w:r w:rsidRPr="00BE1518">
        <w:t>Environmental Protection UK (EPUK) and the Institute of Air Quality Management (IAQM) have published the ‘Land-Use Planning and Development Control: Planning for Air Quality’ guidance to ensure air quality is adequately considered in land-use planning and development</w:t>
      </w:r>
      <w:r w:rsidR="007E0E30" w:rsidRPr="00BE1518">
        <w:rPr>
          <w:rStyle w:val="FootnoteReference"/>
        </w:rPr>
        <w:footnoteReference w:id="3"/>
      </w:r>
      <w:r w:rsidRPr="00BE1518">
        <w:t xml:space="preserve"> . The indicative criteria for requiring an air quality assessment include:</w:t>
      </w:r>
    </w:p>
    <w:p w14:paraId="6CE74C29" w14:textId="08BB8CEC" w:rsidR="007E0E30" w:rsidRPr="00BE1518" w:rsidRDefault="007E0E30" w:rsidP="007E0E30">
      <w:pPr>
        <w:pStyle w:val="NumberedParagraph"/>
        <w:numPr>
          <w:ilvl w:val="0"/>
          <w:numId w:val="41"/>
        </w:numPr>
        <w:jc w:val="both"/>
      </w:pPr>
      <w:r w:rsidRPr="00BE1518">
        <w:t>A change in Light Duty Vehicle (LDV) flows of more than 100 Annual Average Daily Traffic (AADT) within or adjacent to an AQMA or more than 500 AADT elsewhere.</w:t>
      </w:r>
    </w:p>
    <w:p w14:paraId="6B5A7807" w14:textId="2099A4A6" w:rsidR="007E0E30" w:rsidRPr="00BE1518" w:rsidRDefault="007E0E30" w:rsidP="007E0E30">
      <w:pPr>
        <w:pStyle w:val="NumberedParagraph"/>
        <w:numPr>
          <w:ilvl w:val="0"/>
          <w:numId w:val="41"/>
        </w:numPr>
        <w:jc w:val="both"/>
      </w:pPr>
      <w:r w:rsidRPr="00BE1518">
        <w:t>A change in Heavy Duty Vehicle (HDV) flow of more than 25 AADT within or adjacent to an AQMA or more than 100 AADT elsewhere.</w:t>
      </w:r>
    </w:p>
    <w:p w14:paraId="35D474CC" w14:textId="62DFFD3A" w:rsidR="00C80948" w:rsidRPr="00BE1518" w:rsidRDefault="007E0E30" w:rsidP="005E25FD">
      <w:pPr>
        <w:pStyle w:val="NumberedParagraph"/>
        <w:ind w:left="709" w:hanging="709"/>
        <w:jc w:val="both"/>
      </w:pPr>
      <w:r w:rsidRPr="00BE1518">
        <w:lastRenderedPageBreak/>
        <w:t xml:space="preserve">The above criteria </w:t>
      </w:r>
      <w:r w:rsidR="00CF4E99" w:rsidRPr="00BE1518">
        <w:t xml:space="preserve">outlines </w:t>
      </w:r>
      <w:r w:rsidRPr="00BE1518">
        <w:t>when an assessment may be required. If traffic from a development exceeds these levels, then it does not necessary mean that a modelling assessment is necessary, only that air quality impacts of traffic require more detailed consideration.</w:t>
      </w:r>
    </w:p>
    <w:p w14:paraId="1D29FD8D" w14:textId="77777777" w:rsidR="00163284" w:rsidRDefault="007E0E30" w:rsidP="00CF4E99">
      <w:pPr>
        <w:pStyle w:val="NumberedParagraph"/>
        <w:ind w:left="709" w:hanging="709"/>
        <w:jc w:val="both"/>
      </w:pPr>
      <w:r w:rsidRPr="00BE1518">
        <w:t>Traffic flows generated by the proposed development have been predicted by the transport consultant (</w:t>
      </w:r>
      <w:proofErr w:type="spellStart"/>
      <w:r w:rsidRPr="00BE1518">
        <w:t>Markides</w:t>
      </w:r>
      <w:proofErr w:type="spellEnd"/>
      <w:r w:rsidRPr="00BE1518">
        <w:t xml:space="preserve"> Associates Ltd</w:t>
      </w:r>
      <w:r w:rsidR="00A945D7" w:rsidRPr="00BE1518">
        <w:t>)</w:t>
      </w:r>
      <w:r w:rsidRPr="00BE1518">
        <w:t xml:space="preserve">. </w:t>
      </w:r>
      <w:r w:rsidR="00CF4E99" w:rsidRPr="00BE1518">
        <w:t xml:space="preserve">Since the ‘drop-in’ planning application there have been no changes to car parking spaces (i.e. 20 car parking spaces). </w:t>
      </w:r>
      <w:r w:rsidRPr="00BE1518">
        <w:rPr>
          <w:b/>
          <w:bCs/>
        </w:rPr>
        <w:t>Table 1</w:t>
      </w:r>
      <w:r w:rsidRPr="00BE1518">
        <w:t xml:space="preserve"> presents the</w:t>
      </w:r>
      <w:r w:rsidR="00EF73C4" w:rsidRPr="00BE1518">
        <w:t xml:space="preserve"> net</w:t>
      </w:r>
      <w:r w:rsidRPr="00BE1518">
        <w:t xml:space="preserve"> traffic generation</w:t>
      </w:r>
      <w:r w:rsidR="00A945D7" w:rsidRPr="00BE1518">
        <w:t xml:space="preserve"> on the local road network due to</w:t>
      </w:r>
      <w:r w:rsidRPr="00BE1518">
        <w:t xml:space="preserve"> the increase of 6 units on </w:t>
      </w:r>
      <w:r w:rsidR="00EF73C4" w:rsidRPr="00BE1518">
        <w:t xml:space="preserve">the </w:t>
      </w:r>
      <w:r w:rsidRPr="00BE1518">
        <w:t>Site.</w:t>
      </w:r>
      <w:r w:rsidR="00CF4E99" w:rsidRPr="00BE1518">
        <w:t xml:space="preserve"> </w:t>
      </w:r>
    </w:p>
    <w:p w14:paraId="362E0DC5" w14:textId="3CACC878" w:rsidR="007E0E30" w:rsidRPr="00BE1518" w:rsidRDefault="007E0E30" w:rsidP="00CF4E99">
      <w:pPr>
        <w:pStyle w:val="NumberedParagraph"/>
        <w:ind w:left="709" w:hanging="709"/>
        <w:jc w:val="both"/>
      </w:pPr>
    </w:p>
    <w:p w14:paraId="2CB2A695" w14:textId="15EFA377" w:rsidR="007E0E30" w:rsidRPr="00BE1518" w:rsidRDefault="007E0E30" w:rsidP="007E0E30">
      <w:pPr>
        <w:pStyle w:val="TableCaption"/>
      </w:pPr>
      <w:r w:rsidRPr="00BE1518">
        <w:t xml:space="preserve">Table 1: </w:t>
      </w:r>
      <w:r w:rsidR="003835F5" w:rsidRPr="00BE1518">
        <w:t>Net Change in Vehicle Trips</w:t>
      </w:r>
    </w:p>
    <w:tbl>
      <w:tblPr>
        <w:tblStyle w:val="TableGrid"/>
        <w:tblW w:w="0" w:type="auto"/>
        <w:tblLook w:val="04A0" w:firstRow="1" w:lastRow="0" w:firstColumn="1" w:lastColumn="0" w:noHBand="0" w:noVBand="1"/>
      </w:tblPr>
      <w:tblGrid>
        <w:gridCol w:w="4739"/>
        <w:gridCol w:w="4739"/>
      </w:tblGrid>
      <w:tr w:rsidR="003835F5" w:rsidRPr="00BE1518" w14:paraId="611ACB59" w14:textId="77777777" w:rsidTr="00F26749">
        <w:tc>
          <w:tcPr>
            <w:tcW w:w="4739" w:type="dxa"/>
            <w:shd w:val="clear" w:color="auto" w:fill="ED7000"/>
          </w:tcPr>
          <w:p w14:paraId="3514A5B3" w14:textId="319C2C17" w:rsidR="003835F5" w:rsidRPr="00BE1518" w:rsidRDefault="003835F5" w:rsidP="003835F5">
            <w:pPr>
              <w:pStyle w:val="TableText"/>
              <w:spacing w:after="96"/>
              <w:jc w:val="left"/>
              <w:rPr>
                <w:b/>
                <w:bCs/>
                <w:color w:val="FFFFFF" w:themeColor="background1"/>
              </w:rPr>
            </w:pPr>
            <w:r w:rsidRPr="00BE1518">
              <w:rPr>
                <w:b/>
                <w:bCs/>
                <w:color w:val="FFFFFF" w:themeColor="background1"/>
              </w:rPr>
              <w:t>Road Link</w:t>
            </w:r>
          </w:p>
        </w:tc>
        <w:tc>
          <w:tcPr>
            <w:tcW w:w="4739" w:type="dxa"/>
            <w:shd w:val="clear" w:color="auto" w:fill="ED7000"/>
          </w:tcPr>
          <w:p w14:paraId="742596E5" w14:textId="1F9488EE" w:rsidR="003835F5" w:rsidRPr="00BE1518" w:rsidRDefault="003835F5" w:rsidP="003835F5">
            <w:pPr>
              <w:pStyle w:val="TableText"/>
              <w:spacing w:after="96"/>
              <w:rPr>
                <w:b/>
                <w:bCs/>
                <w:color w:val="FFFFFF" w:themeColor="background1"/>
              </w:rPr>
            </w:pPr>
            <w:r w:rsidRPr="00BE1518">
              <w:rPr>
                <w:b/>
                <w:bCs/>
                <w:color w:val="FFFFFF" w:themeColor="background1"/>
              </w:rPr>
              <w:t>AADT</w:t>
            </w:r>
          </w:p>
        </w:tc>
      </w:tr>
      <w:tr w:rsidR="003835F5" w:rsidRPr="00BE1518" w14:paraId="1626AF84" w14:textId="77777777" w:rsidTr="003835F5">
        <w:tc>
          <w:tcPr>
            <w:tcW w:w="4739" w:type="dxa"/>
          </w:tcPr>
          <w:p w14:paraId="5BF7EE6C" w14:textId="72EE4FDD" w:rsidR="003835F5" w:rsidRPr="00BE1518" w:rsidRDefault="003835F5" w:rsidP="003835F5">
            <w:pPr>
              <w:pStyle w:val="TableText"/>
              <w:spacing w:after="96"/>
              <w:jc w:val="left"/>
            </w:pPr>
            <w:r w:rsidRPr="00BE1518">
              <w:t>The Parkway North of Hayes Road</w:t>
            </w:r>
          </w:p>
        </w:tc>
        <w:tc>
          <w:tcPr>
            <w:tcW w:w="4739" w:type="dxa"/>
          </w:tcPr>
          <w:p w14:paraId="51827DF3" w14:textId="74210A78" w:rsidR="003835F5" w:rsidRPr="00BE1518" w:rsidRDefault="003835F5" w:rsidP="003835F5">
            <w:pPr>
              <w:pStyle w:val="TableText"/>
              <w:spacing w:after="96"/>
            </w:pPr>
            <w:r w:rsidRPr="00BE1518">
              <w:t>3</w:t>
            </w:r>
          </w:p>
        </w:tc>
      </w:tr>
      <w:tr w:rsidR="003835F5" w:rsidRPr="00BE1518" w14:paraId="7D7213AC" w14:textId="77777777" w:rsidTr="00D92A56">
        <w:tc>
          <w:tcPr>
            <w:tcW w:w="4739" w:type="dxa"/>
            <w:vAlign w:val="center"/>
          </w:tcPr>
          <w:p w14:paraId="6528256E" w14:textId="6F7BC446" w:rsidR="003835F5" w:rsidRPr="00BE1518" w:rsidRDefault="003835F5" w:rsidP="003835F5">
            <w:pPr>
              <w:pStyle w:val="TableText"/>
              <w:spacing w:after="96"/>
              <w:jc w:val="left"/>
            </w:pPr>
            <w:r w:rsidRPr="00BE1518">
              <w:t>Hayes Road</w:t>
            </w:r>
          </w:p>
        </w:tc>
        <w:tc>
          <w:tcPr>
            <w:tcW w:w="4739" w:type="dxa"/>
          </w:tcPr>
          <w:p w14:paraId="5030DBEE" w14:textId="329B9568" w:rsidR="003835F5" w:rsidRPr="00BE1518" w:rsidRDefault="003835F5" w:rsidP="003835F5">
            <w:pPr>
              <w:pStyle w:val="TableText"/>
              <w:spacing w:after="96"/>
            </w:pPr>
            <w:r w:rsidRPr="00BE1518">
              <w:t>2</w:t>
            </w:r>
          </w:p>
        </w:tc>
      </w:tr>
      <w:tr w:rsidR="003835F5" w:rsidRPr="00BE1518" w14:paraId="7D7334FC" w14:textId="77777777" w:rsidTr="00D92A56">
        <w:tc>
          <w:tcPr>
            <w:tcW w:w="4739" w:type="dxa"/>
            <w:vAlign w:val="center"/>
          </w:tcPr>
          <w:p w14:paraId="1C69A200" w14:textId="7A25A424" w:rsidR="003835F5" w:rsidRPr="00BE1518" w:rsidRDefault="003835F5" w:rsidP="003835F5">
            <w:pPr>
              <w:pStyle w:val="TableText"/>
              <w:spacing w:after="96"/>
              <w:jc w:val="left"/>
            </w:pPr>
            <w:r w:rsidRPr="00BE1518">
              <w:t>The Parkway South of Hayes Road</w:t>
            </w:r>
          </w:p>
        </w:tc>
        <w:tc>
          <w:tcPr>
            <w:tcW w:w="4739" w:type="dxa"/>
          </w:tcPr>
          <w:p w14:paraId="1B789EDD" w14:textId="5156DA52" w:rsidR="003835F5" w:rsidRPr="00BE1518" w:rsidRDefault="003835F5" w:rsidP="003835F5">
            <w:pPr>
              <w:pStyle w:val="TableText"/>
              <w:spacing w:after="96"/>
            </w:pPr>
            <w:r w:rsidRPr="00BE1518">
              <w:t>3</w:t>
            </w:r>
          </w:p>
        </w:tc>
      </w:tr>
      <w:tr w:rsidR="003835F5" w:rsidRPr="00BE1518" w14:paraId="6CB1F2C6" w14:textId="77777777" w:rsidTr="00D92A56">
        <w:tc>
          <w:tcPr>
            <w:tcW w:w="4739" w:type="dxa"/>
            <w:vAlign w:val="center"/>
          </w:tcPr>
          <w:p w14:paraId="47C4AA4C" w14:textId="1116FCE1" w:rsidR="003835F5" w:rsidRPr="00BE1518" w:rsidRDefault="003835F5" w:rsidP="003835F5">
            <w:pPr>
              <w:pStyle w:val="TableText"/>
              <w:spacing w:after="96"/>
              <w:jc w:val="left"/>
            </w:pPr>
            <w:r w:rsidRPr="00BE1518">
              <w:t>North Hyde Road (East of North Hyde Gardens)</w:t>
            </w:r>
          </w:p>
        </w:tc>
        <w:tc>
          <w:tcPr>
            <w:tcW w:w="4739" w:type="dxa"/>
          </w:tcPr>
          <w:p w14:paraId="5EC5FE19" w14:textId="0C026E48" w:rsidR="003835F5" w:rsidRPr="00BE1518" w:rsidRDefault="003835F5" w:rsidP="003835F5">
            <w:pPr>
              <w:pStyle w:val="TableText"/>
              <w:spacing w:after="96"/>
            </w:pPr>
            <w:r w:rsidRPr="00BE1518">
              <w:t>7</w:t>
            </w:r>
          </w:p>
        </w:tc>
      </w:tr>
      <w:tr w:rsidR="003835F5" w:rsidRPr="00BE1518" w14:paraId="2254DBD1" w14:textId="77777777" w:rsidTr="00D92A56">
        <w:tc>
          <w:tcPr>
            <w:tcW w:w="4739" w:type="dxa"/>
            <w:vAlign w:val="center"/>
          </w:tcPr>
          <w:p w14:paraId="01BB9324" w14:textId="39F00AB2" w:rsidR="003835F5" w:rsidRPr="00BE1518" w:rsidRDefault="003835F5" w:rsidP="003835F5">
            <w:pPr>
              <w:pStyle w:val="TableText"/>
              <w:spacing w:after="96"/>
              <w:jc w:val="left"/>
            </w:pPr>
            <w:r w:rsidRPr="00BE1518">
              <w:t>North Hyde Gardens</w:t>
            </w:r>
          </w:p>
        </w:tc>
        <w:tc>
          <w:tcPr>
            <w:tcW w:w="4739" w:type="dxa"/>
          </w:tcPr>
          <w:p w14:paraId="14086D46" w14:textId="544D889C" w:rsidR="003835F5" w:rsidRPr="00BE1518" w:rsidRDefault="003835F5" w:rsidP="003835F5">
            <w:pPr>
              <w:pStyle w:val="TableText"/>
              <w:spacing w:after="96"/>
            </w:pPr>
            <w:r w:rsidRPr="00BE1518">
              <w:t>0</w:t>
            </w:r>
          </w:p>
        </w:tc>
      </w:tr>
      <w:tr w:rsidR="003835F5" w:rsidRPr="00BE1518" w14:paraId="5C7A4A06" w14:textId="77777777" w:rsidTr="00D92A56">
        <w:tc>
          <w:tcPr>
            <w:tcW w:w="4739" w:type="dxa"/>
            <w:vAlign w:val="center"/>
          </w:tcPr>
          <w:p w14:paraId="2C81B30C" w14:textId="48D72907" w:rsidR="003835F5" w:rsidRPr="00BE1518" w:rsidRDefault="003835F5" w:rsidP="003835F5">
            <w:pPr>
              <w:pStyle w:val="TableText"/>
              <w:spacing w:after="96"/>
              <w:jc w:val="left"/>
            </w:pPr>
            <w:r w:rsidRPr="00BE1518">
              <w:t>Nestles Ave East of Harold Ave</w:t>
            </w:r>
          </w:p>
        </w:tc>
        <w:tc>
          <w:tcPr>
            <w:tcW w:w="4739" w:type="dxa"/>
          </w:tcPr>
          <w:p w14:paraId="06BEB033" w14:textId="3D7EBB50" w:rsidR="003835F5" w:rsidRPr="00BE1518" w:rsidRDefault="003835F5" w:rsidP="003835F5">
            <w:pPr>
              <w:pStyle w:val="TableText"/>
              <w:spacing w:after="96"/>
            </w:pPr>
            <w:r w:rsidRPr="00BE1518">
              <w:t>0</w:t>
            </w:r>
          </w:p>
        </w:tc>
      </w:tr>
      <w:tr w:rsidR="003835F5" w:rsidRPr="00BE1518" w14:paraId="0DD1C2FC" w14:textId="77777777" w:rsidTr="00D92A56">
        <w:tc>
          <w:tcPr>
            <w:tcW w:w="4739" w:type="dxa"/>
            <w:vAlign w:val="center"/>
          </w:tcPr>
          <w:p w14:paraId="243EE7F4" w14:textId="014DCDA2" w:rsidR="003835F5" w:rsidRPr="00BE1518" w:rsidRDefault="003835F5" w:rsidP="003835F5">
            <w:pPr>
              <w:pStyle w:val="TableText"/>
              <w:spacing w:after="96"/>
              <w:jc w:val="left"/>
            </w:pPr>
            <w:r w:rsidRPr="00BE1518">
              <w:t>Harold Ave</w:t>
            </w:r>
          </w:p>
        </w:tc>
        <w:tc>
          <w:tcPr>
            <w:tcW w:w="4739" w:type="dxa"/>
          </w:tcPr>
          <w:p w14:paraId="1C554200" w14:textId="41E4C274" w:rsidR="003835F5" w:rsidRPr="00BE1518" w:rsidRDefault="003835F5" w:rsidP="003835F5">
            <w:pPr>
              <w:pStyle w:val="TableText"/>
              <w:spacing w:after="96"/>
            </w:pPr>
            <w:r w:rsidRPr="00BE1518">
              <w:t>5</w:t>
            </w:r>
          </w:p>
        </w:tc>
      </w:tr>
      <w:tr w:rsidR="003835F5" w:rsidRPr="00BE1518" w14:paraId="252BEF62" w14:textId="77777777" w:rsidTr="00D92A56">
        <w:tc>
          <w:tcPr>
            <w:tcW w:w="4739" w:type="dxa"/>
            <w:vAlign w:val="center"/>
          </w:tcPr>
          <w:p w14:paraId="0FE07848" w14:textId="20D67C65" w:rsidR="003835F5" w:rsidRPr="00BE1518" w:rsidRDefault="003835F5" w:rsidP="003835F5">
            <w:pPr>
              <w:pStyle w:val="TableText"/>
              <w:spacing w:after="96"/>
              <w:jc w:val="left"/>
            </w:pPr>
            <w:r w:rsidRPr="00BE1518">
              <w:t>Nestles Ave East of Station Road</w:t>
            </w:r>
          </w:p>
        </w:tc>
        <w:tc>
          <w:tcPr>
            <w:tcW w:w="4739" w:type="dxa"/>
          </w:tcPr>
          <w:p w14:paraId="317308F8" w14:textId="62182CAC" w:rsidR="003835F5" w:rsidRPr="00BE1518" w:rsidRDefault="003835F5" w:rsidP="003835F5">
            <w:pPr>
              <w:pStyle w:val="TableText"/>
              <w:spacing w:after="96"/>
            </w:pPr>
            <w:r w:rsidRPr="00BE1518">
              <w:t>3</w:t>
            </w:r>
          </w:p>
        </w:tc>
      </w:tr>
      <w:tr w:rsidR="003835F5" w:rsidRPr="00BE1518" w14:paraId="7E419D78" w14:textId="77777777" w:rsidTr="00D92A56">
        <w:tc>
          <w:tcPr>
            <w:tcW w:w="4739" w:type="dxa"/>
            <w:vAlign w:val="center"/>
          </w:tcPr>
          <w:p w14:paraId="3363C8F2" w14:textId="5F6EFF8A" w:rsidR="003835F5" w:rsidRPr="00BE1518" w:rsidRDefault="003835F5" w:rsidP="003835F5">
            <w:pPr>
              <w:pStyle w:val="TableText"/>
              <w:spacing w:after="96"/>
              <w:jc w:val="left"/>
            </w:pPr>
            <w:r w:rsidRPr="00BE1518">
              <w:t>North Hyde Road East of Station Road</w:t>
            </w:r>
          </w:p>
        </w:tc>
        <w:tc>
          <w:tcPr>
            <w:tcW w:w="4739" w:type="dxa"/>
          </w:tcPr>
          <w:p w14:paraId="1620AAB5" w14:textId="5476B3ED" w:rsidR="003835F5" w:rsidRPr="00BE1518" w:rsidRDefault="003835F5" w:rsidP="003835F5">
            <w:pPr>
              <w:pStyle w:val="TableText"/>
              <w:spacing w:after="96"/>
            </w:pPr>
            <w:r w:rsidRPr="00BE1518">
              <w:t>0</w:t>
            </w:r>
          </w:p>
        </w:tc>
      </w:tr>
      <w:tr w:rsidR="003835F5" w:rsidRPr="00BE1518" w14:paraId="380C1C00" w14:textId="77777777" w:rsidTr="00D92A56">
        <w:tc>
          <w:tcPr>
            <w:tcW w:w="4739" w:type="dxa"/>
            <w:vAlign w:val="center"/>
          </w:tcPr>
          <w:p w14:paraId="3CE66B75" w14:textId="404E3619" w:rsidR="003835F5" w:rsidRPr="00BE1518" w:rsidRDefault="003835F5" w:rsidP="003835F5">
            <w:pPr>
              <w:pStyle w:val="TableText"/>
              <w:spacing w:after="96"/>
              <w:jc w:val="left"/>
            </w:pPr>
            <w:r w:rsidRPr="00BE1518">
              <w:t xml:space="preserve">Station Road North of </w:t>
            </w:r>
            <w:proofErr w:type="spellStart"/>
            <w:r w:rsidRPr="00BE1518">
              <w:t>Crowland</w:t>
            </w:r>
            <w:proofErr w:type="spellEnd"/>
            <w:r w:rsidRPr="00BE1518">
              <w:t xml:space="preserve"> Avenue</w:t>
            </w:r>
          </w:p>
        </w:tc>
        <w:tc>
          <w:tcPr>
            <w:tcW w:w="4739" w:type="dxa"/>
          </w:tcPr>
          <w:p w14:paraId="6EB53055" w14:textId="68E16516" w:rsidR="003835F5" w:rsidRPr="00BE1518" w:rsidRDefault="003835F5" w:rsidP="003835F5">
            <w:pPr>
              <w:pStyle w:val="TableText"/>
              <w:spacing w:after="96"/>
            </w:pPr>
            <w:r w:rsidRPr="00BE1518">
              <w:t>2</w:t>
            </w:r>
          </w:p>
        </w:tc>
      </w:tr>
      <w:tr w:rsidR="003835F5" w:rsidRPr="00BE1518" w14:paraId="2CF23E37" w14:textId="77777777" w:rsidTr="00D92A56">
        <w:tc>
          <w:tcPr>
            <w:tcW w:w="4739" w:type="dxa"/>
            <w:vAlign w:val="center"/>
          </w:tcPr>
          <w:p w14:paraId="10149648" w14:textId="47B156DF" w:rsidR="003835F5" w:rsidRPr="00BE1518" w:rsidRDefault="003835F5" w:rsidP="003835F5">
            <w:pPr>
              <w:pStyle w:val="TableText"/>
              <w:spacing w:after="96"/>
              <w:jc w:val="left"/>
            </w:pPr>
            <w:r w:rsidRPr="00BE1518">
              <w:t>M4 west of J3</w:t>
            </w:r>
          </w:p>
        </w:tc>
        <w:tc>
          <w:tcPr>
            <w:tcW w:w="4739" w:type="dxa"/>
          </w:tcPr>
          <w:p w14:paraId="00D60108" w14:textId="29EFDC9A" w:rsidR="003835F5" w:rsidRPr="00BE1518" w:rsidRDefault="003835F5" w:rsidP="003835F5">
            <w:pPr>
              <w:pStyle w:val="TableText"/>
              <w:spacing w:after="96"/>
            </w:pPr>
            <w:r w:rsidRPr="00BE1518">
              <w:t>11</w:t>
            </w:r>
          </w:p>
        </w:tc>
      </w:tr>
    </w:tbl>
    <w:p w14:paraId="10D84667" w14:textId="77777777" w:rsidR="00163284" w:rsidRDefault="00163284" w:rsidP="00EF73C4">
      <w:pPr>
        <w:pStyle w:val="NumberedParagraph"/>
        <w:ind w:left="709" w:hanging="709"/>
        <w:jc w:val="both"/>
      </w:pPr>
      <w:r>
        <w:t xml:space="preserve">This is considered an overly conservative approach as the development is not providing </w:t>
      </w:r>
      <w:r w:rsidRPr="00163284">
        <w:t>any additional residential car parking to support the uplift in units and the surrounding area is covered by resident</w:t>
      </w:r>
      <w:r>
        <w:t xml:space="preserve">ial </w:t>
      </w:r>
      <w:r w:rsidRPr="00163284">
        <w:t>parking controls that exclude anyone living on the site</w:t>
      </w:r>
      <w:r>
        <w:t>. Therefore, the 6 additional unts are</w:t>
      </w:r>
      <w:r w:rsidRPr="00163284">
        <w:t xml:space="preserve"> unlikely </w:t>
      </w:r>
      <w:r>
        <w:t xml:space="preserve">to </w:t>
      </w:r>
      <w:r w:rsidRPr="00163284">
        <w:t>generate additional vehicle trips</w:t>
      </w:r>
      <w:r>
        <w:t>.</w:t>
      </w:r>
    </w:p>
    <w:p w14:paraId="05DE71C1" w14:textId="650BCD85" w:rsidR="007E0E30" w:rsidRPr="00BE1518" w:rsidRDefault="00EF73C4" w:rsidP="00EF73C4">
      <w:pPr>
        <w:pStyle w:val="NumberedParagraph"/>
        <w:ind w:left="709" w:hanging="709"/>
        <w:jc w:val="both"/>
      </w:pPr>
      <w:r w:rsidRPr="00BE1518">
        <w:t xml:space="preserve">When compared to the consented proposals </w:t>
      </w:r>
      <w:r w:rsidR="00CE3F7C" w:rsidRPr="00BE1518">
        <w:t xml:space="preserve">the change in traffic flows </w:t>
      </w:r>
      <w:r w:rsidR="00F47BE5" w:rsidRPr="00BE1518">
        <w:t xml:space="preserve">due to the Proposed Development </w:t>
      </w:r>
      <w:r w:rsidR="00CE3F7C" w:rsidRPr="00BE1518">
        <w:t xml:space="preserve">is </w:t>
      </w:r>
      <w:r w:rsidR="000B4F5F" w:rsidRPr="00BE1518">
        <w:t xml:space="preserve">very small and the predicted concentrations in the consented air quality assessment are </w:t>
      </w:r>
      <w:r w:rsidR="00F47BE5" w:rsidRPr="00BE1518">
        <w:t xml:space="preserve">well </w:t>
      </w:r>
      <w:r w:rsidR="00CE3F7C" w:rsidRPr="00BE1518">
        <w:t xml:space="preserve">below the </w:t>
      </w:r>
      <w:r w:rsidR="000B4F5F" w:rsidRPr="00BE1518">
        <w:t xml:space="preserve">national air quality objectives </w:t>
      </w:r>
      <w:r w:rsidR="00CE3F7C" w:rsidRPr="00BE1518">
        <w:t xml:space="preserve">and therefore the air quality impacts are not significant. The air quality assessment undertaken for the consented proposals considered impacts on air quality to be not significant and therefore the traffic generation brought about by the increase in 6 units within Block H and </w:t>
      </w:r>
      <w:r w:rsidR="004670DD" w:rsidRPr="00BE1518">
        <w:t>flexible uses</w:t>
      </w:r>
      <w:r w:rsidR="00CE3F7C" w:rsidRPr="00BE1518">
        <w:t xml:space="preserve"> are not expected to have a significant impact on local air quality.</w:t>
      </w:r>
    </w:p>
    <w:p w14:paraId="22FA34E5" w14:textId="21420431" w:rsidR="009246B2" w:rsidRPr="00BE1518" w:rsidRDefault="009246B2" w:rsidP="00C90F05">
      <w:pPr>
        <w:pStyle w:val="Heading2"/>
        <w:jc w:val="both"/>
      </w:pPr>
      <w:r w:rsidRPr="00BE1518">
        <w:t>Site Suitability</w:t>
      </w:r>
    </w:p>
    <w:p w14:paraId="7CA7A064" w14:textId="36860677" w:rsidR="009246B2" w:rsidRPr="00BE1518" w:rsidRDefault="009246B2" w:rsidP="009246B2">
      <w:pPr>
        <w:pStyle w:val="NumberedParagraph"/>
        <w:ind w:left="709" w:hanging="709"/>
        <w:jc w:val="both"/>
      </w:pPr>
      <w:r w:rsidRPr="00BE1518">
        <w:t xml:space="preserve">The 2020 air quality assessment concluded that all concentrations were below the National Air Quality Objectives within the Development in 2025. </w:t>
      </w:r>
      <w:r w:rsidR="005B1DA2" w:rsidRPr="00BE1518">
        <w:t>The Proposed Development does not introduce receptors closer to the</w:t>
      </w:r>
      <w:r w:rsidR="00597F0C" w:rsidRPr="00BE1518">
        <w:t xml:space="preserve"> Nestle Avenue than those assessed in the 2020 air quality </w:t>
      </w:r>
      <w:proofErr w:type="gramStart"/>
      <w:r w:rsidR="00597F0C" w:rsidRPr="00BE1518">
        <w:t>assessment</w:t>
      </w:r>
      <w:proofErr w:type="gramEnd"/>
      <w:r w:rsidR="00597F0C" w:rsidRPr="00BE1518">
        <w:t xml:space="preserve"> and i</w:t>
      </w:r>
      <w:r w:rsidRPr="00BE1518">
        <w:t>t is considered that air quality for future users of the Development is acceptable and no further mitigation measures are required.</w:t>
      </w:r>
    </w:p>
    <w:p w14:paraId="2AEBC978" w14:textId="4FB30CAD" w:rsidR="00175D37" w:rsidRPr="00BE1518" w:rsidRDefault="00F26749" w:rsidP="00C90F05">
      <w:pPr>
        <w:pStyle w:val="Heading2"/>
        <w:jc w:val="both"/>
      </w:pPr>
      <w:r w:rsidRPr="00BE1518">
        <w:lastRenderedPageBreak/>
        <w:t>Air Quality Neutral</w:t>
      </w:r>
    </w:p>
    <w:p w14:paraId="5ED843F8" w14:textId="425ACE3F" w:rsidR="00F26749" w:rsidRPr="00BE1518" w:rsidRDefault="00F26749" w:rsidP="006B4402">
      <w:pPr>
        <w:pStyle w:val="NumberedParagraph"/>
        <w:ind w:left="709" w:hanging="709"/>
        <w:jc w:val="both"/>
      </w:pPr>
      <w:r w:rsidRPr="00BE1518">
        <w:t xml:space="preserve">The Development proposes an additional 6 </w:t>
      </w:r>
      <w:r w:rsidR="003714C5" w:rsidRPr="00BE1518">
        <w:t>residential</w:t>
      </w:r>
      <w:r w:rsidRPr="00BE1518">
        <w:t xml:space="preserve"> units within Block H</w:t>
      </w:r>
      <w:r w:rsidR="003714C5" w:rsidRPr="00BE1518">
        <w:t xml:space="preserve"> compared to the extant planning permission. The ‘air quality neutral’ calculations have been undertaken for the additional 6 units</w:t>
      </w:r>
      <w:r w:rsidR="00F33426" w:rsidRPr="00BE1518">
        <w:t>, t</w:t>
      </w:r>
      <w:r w:rsidR="003714C5" w:rsidRPr="00BE1518">
        <w:t xml:space="preserve">he healthcare </w:t>
      </w:r>
      <w:r w:rsidR="00F33426" w:rsidRPr="00BE1518">
        <w:t xml:space="preserve">and nursery </w:t>
      </w:r>
      <w:r w:rsidR="003714C5" w:rsidRPr="00BE1518">
        <w:t>land use</w:t>
      </w:r>
      <w:r w:rsidR="00F33426" w:rsidRPr="00BE1518">
        <w:t>s</w:t>
      </w:r>
      <w:r w:rsidR="003714C5" w:rsidRPr="00BE1518">
        <w:t xml:space="preserve">, as the extant planning permission assessed the ‘air quality neutral’ for the remaining Site. </w:t>
      </w:r>
      <w:r w:rsidR="00B85FE6" w:rsidRPr="00BE1518">
        <w:t>T</w:t>
      </w:r>
      <w:r w:rsidR="003714C5" w:rsidRPr="00BE1518">
        <w:t xml:space="preserve">he extant planning permission </w:t>
      </w:r>
      <w:r w:rsidR="00B85FE6" w:rsidRPr="00BE1518">
        <w:t xml:space="preserve">was </w:t>
      </w:r>
      <w:r w:rsidR="003714C5" w:rsidRPr="00BE1518">
        <w:t>not ‘Air Quality Neutral’.</w:t>
      </w:r>
    </w:p>
    <w:p w14:paraId="17B61345" w14:textId="1199A2AD" w:rsidR="003714C5" w:rsidRPr="00BE1518" w:rsidRDefault="003714C5" w:rsidP="006B4402">
      <w:pPr>
        <w:pStyle w:val="NumberedParagraph"/>
        <w:ind w:left="709" w:hanging="709"/>
        <w:jc w:val="both"/>
      </w:pPr>
      <w:r w:rsidRPr="00BE1518">
        <w:t>The Air Quality Neutral calculations have been undertaken following the methodology described in the ‘</w:t>
      </w:r>
      <w:r w:rsidR="007F7E75" w:rsidRPr="00BE1518">
        <w:t xml:space="preserve">London Plan </w:t>
      </w:r>
      <w:r w:rsidRPr="00BE1518">
        <w:t>Air Quality Neutral</w:t>
      </w:r>
      <w:r w:rsidR="0061753B" w:rsidRPr="00BE1518">
        <w:t xml:space="preserve"> Guidance</w:t>
      </w:r>
      <w:r w:rsidRPr="00BE1518">
        <w:t>’</w:t>
      </w:r>
      <w:r w:rsidR="0061753B" w:rsidRPr="00BE1518">
        <w:rPr>
          <w:rStyle w:val="FootnoteReference"/>
        </w:rPr>
        <w:footnoteReference w:id="4"/>
      </w:r>
      <w:r w:rsidRPr="00BE1518">
        <w:t xml:space="preserve"> and are presented below.</w:t>
      </w:r>
    </w:p>
    <w:p w14:paraId="4E029047" w14:textId="268EC379" w:rsidR="0061753B" w:rsidRPr="00BE1518" w:rsidRDefault="0061753B" w:rsidP="00811EA8">
      <w:pPr>
        <w:pStyle w:val="TableCaption"/>
      </w:pPr>
      <w:r w:rsidRPr="00BE1518">
        <w:t xml:space="preserve">Table 2 </w:t>
      </w:r>
      <w:r w:rsidR="0062631C" w:rsidRPr="00BE1518">
        <w:t xml:space="preserve">Calculation of </w:t>
      </w:r>
      <w:r w:rsidR="00A21D1E" w:rsidRPr="00BE1518">
        <w:t>Transport</w:t>
      </w:r>
      <w:r w:rsidRPr="00BE1518">
        <w:t xml:space="preserve"> Emission Benchmark</w:t>
      </w:r>
      <w:r w:rsidR="0062631C" w:rsidRPr="00BE1518">
        <w:t>s (TEB)</w:t>
      </w:r>
    </w:p>
    <w:tbl>
      <w:tblPr>
        <w:tblStyle w:val="TableGrid"/>
        <w:tblW w:w="0" w:type="auto"/>
        <w:tblLook w:val="04A0" w:firstRow="1" w:lastRow="0" w:firstColumn="1" w:lastColumn="0" w:noHBand="0" w:noVBand="1"/>
      </w:tblPr>
      <w:tblGrid>
        <w:gridCol w:w="2369"/>
        <w:gridCol w:w="2370"/>
        <w:gridCol w:w="2369"/>
        <w:gridCol w:w="2370"/>
      </w:tblGrid>
      <w:tr w:rsidR="0061753B" w:rsidRPr="00BE1518" w14:paraId="1BF410F6" w14:textId="77777777" w:rsidTr="00A21D1E">
        <w:tc>
          <w:tcPr>
            <w:tcW w:w="2369" w:type="dxa"/>
            <w:shd w:val="clear" w:color="auto" w:fill="ED7000"/>
          </w:tcPr>
          <w:p w14:paraId="154A70F7" w14:textId="7CC3F1DE" w:rsidR="0061753B" w:rsidRPr="00BE1518" w:rsidRDefault="0061753B" w:rsidP="00884766">
            <w:pPr>
              <w:pStyle w:val="TableText"/>
              <w:spacing w:after="96"/>
              <w:jc w:val="left"/>
              <w:rPr>
                <w:b/>
                <w:bCs/>
                <w:color w:val="FFFFFF" w:themeColor="background1"/>
              </w:rPr>
            </w:pPr>
            <w:r w:rsidRPr="00BE1518">
              <w:rPr>
                <w:b/>
                <w:bCs/>
                <w:color w:val="FFFFFF" w:themeColor="background1"/>
              </w:rPr>
              <w:t>Land Use</w:t>
            </w:r>
          </w:p>
        </w:tc>
        <w:tc>
          <w:tcPr>
            <w:tcW w:w="2370" w:type="dxa"/>
            <w:shd w:val="clear" w:color="auto" w:fill="ED7000"/>
          </w:tcPr>
          <w:p w14:paraId="0BAB8A77" w14:textId="201D822B" w:rsidR="0061753B" w:rsidRPr="00BE1518" w:rsidRDefault="00C30FB0" w:rsidP="00884766">
            <w:pPr>
              <w:pStyle w:val="TableText"/>
              <w:spacing w:after="96"/>
              <w:rPr>
                <w:b/>
                <w:bCs/>
                <w:color w:val="FFFFFF" w:themeColor="background1"/>
              </w:rPr>
            </w:pPr>
            <w:r w:rsidRPr="00BE1518">
              <w:rPr>
                <w:b/>
                <w:bCs/>
                <w:color w:val="FFFFFF" w:themeColor="background1"/>
              </w:rPr>
              <w:t xml:space="preserve">Floor Area (m2) / </w:t>
            </w:r>
          </w:p>
        </w:tc>
        <w:tc>
          <w:tcPr>
            <w:tcW w:w="2369" w:type="dxa"/>
            <w:shd w:val="clear" w:color="auto" w:fill="ED7000"/>
          </w:tcPr>
          <w:p w14:paraId="4EEBA05E" w14:textId="09DE5D69" w:rsidR="0061753B" w:rsidRPr="00BE1518" w:rsidRDefault="0061753B" w:rsidP="00884766">
            <w:pPr>
              <w:pStyle w:val="TableText"/>
              <w:spacing w:after="96"/>
              <w:rPr>
                <w:b/>
                <w:bCs/>
                <w:color w:val="FFFFFF" w:themeColor="background1"/>
              </w:rPr>
            </w:pPr>
            <w:r w:rsidRPr="00BE1518">
              <w:rPr>
                <w:b/>
                <w:bCs/>
                <w:color w:val="FFFFFF" w:themeColor="background1"/>
              </w:rPr>
              <w:t>Benchmark Trip Rates</w:t>
            </w:r>
            <w:r w:rsidR="00A21D1E" w:rsidRPr="00BE1518">
              <w:rPr>
                <w:b/>
                <w:bCs/>
                <w:color w:val="FFFFFF" w:themeColor="background1"/>
              </w:rPr>
              <w:t xml:space="preserve"> (Outer London)</w:t>
            </w:r>
          </w:p>
        </w:tc>
        <w:tc>
          <w:tcPr>
            <w:tcW w:w="2370" w:type="dxa"/>
            <w:shd w:val="clear" w:color="auto" w:fill="ED7000"/>
          </w:tcPr>
          <w:p w14:paraId="63DC77FD" w14:textId="49254376" w:rsidR="0061753B" w:rsidRPr="00BE1518" w:rsidRDefault="0061753B" w:rsidP="00884766">
            <w:pPr>
              <w:pStyle w:val="TableText"/>
              <w:spacing w:after="96"/>
              <w:rPr>
                <w:b/>
                <w:bCs/>
                <w:color w:val="FFFFFF" w:themeColor="background1"/>
              </w:rPr>
            </w:pPr>
            <w:r w:rsidRPr="00BE1518">
              <w:rPr>
                <w:b/>
                <w:bCs/>
                <w:color w:val="FFFFFF" w:themeColor="background1"/>
              </w:rPr>
              <w:t xml:space="preserve">Total </w:t>
            </w:r>
            <w:proofErr w:type="gramStart"/>
            <w:r w:rsidRPr="00BE1518">
              <w:rPr>
                <w:b/>
                <w:bCs/>
                <w:color w:val="FFFFFF" w:themeColor="background1"/>
              </w:rPr>
              <w:t>Bench Mark</w:t>
            </w:r>
            <w:proofErr w:type="gramEnd"/>
            <w:r w:rsidRPr="00BE1518">
              <w:rPr>
                <w:b/>
                <w:bCs/>
                <w:color w:val="FFFFFF" w:themeColor="background1"/>
              </w:rPr>
              <w:t xml:space="preserve"> Trip Rate (trips/year</w:t>
            </w:r>
          </w:p>
        </w:tc>
      </w:tr>
      <w:tr w:rsidR="00A21D1E" w:rsidRPr="00BE1518" w14:paraId="1AA756A0" w14:textId="77777777" w:rsidTr="00A21D1E">
        <w:tc>
          <w:tcPr>
            <w:tcW w:w="2369" w:type="dxa"/>
          </w:tcPr>
          <w:p w14:paraId="7D3B5DFE" w14:textId="24707E93" w:rsidR="00A21D1E" w:rsidRPr="00BE1518" w:rsidRDefault="00A21D1E" w:rsidP="00884766">
            <w:pPr>
              <w:pStyle w:val="TableText"/>
              <w:spacing w:after="96"/>
              <w:jc w:val="left"/>
            </w:pPr>
            <w:r w:rsidRPr="00BE1518">
              <w:t>Residential Land Use</w:t>
            </w:r>
          </w:p>
        </w:tc>
        <w:tc>
          <w:tcPr>
            <w:tcW w:w="2370" w:type="dxa"/>
          </w:tcPr>
          <w:p w14:paraId="1FB4694A" w14:textId="01092BF0" w:rsidR="00A21D1E" w:rsidRPr="00BE1518" w:rsidRDefault="00A21D1E" w:rsidP="00884766">
            <w:pPr>
              <w:pStyle w:val="TableText"/>
              <w:spacing w:after="96"/>
            </w:pPr>
            <w:r w:rsidRPr="00BE1518">
              <w:t>6</w:t>
            </w:r>
            <w:r w:rsidR="00C30FB0" w:rsidRPr="00BE1518">
              <w:t xml:space="preserve"> dwellings</w:t>
            </w:r>
          </w:p>
        </w:tc>
        <w:tc>
          <w:tcPr>
            <w:tcW w:w="2369" w:type="dxa"/>
          </w:tcPr>
          <w:p w14:paraId="27FEF848" w14:textId="2F99FB1A" w:rsidR="00A21D1E" w:rsidRPr="00BE1518" w:rsidRDefault="00A21D1E" w:rsidP="00884766">
            <w:pPr>
              <w:pStyle w:val="TableText"/>
              <w:spacing w:after="96"/>
            </w:pPr>
            <w:r w:rsidRPr="00BE1518">
              <w:t>447</w:t>
            </w:r>
          </w:p>
        </w:tc>
        <w:tc>
          <w:tcPr>
            <w:tcW w:w="2370" w:type="dxa"/>
          </w:tcPr>
          <w:p w14:paraId="6991D50E" w14:textId="68878E82" w:rsidR="00A21D1E" w:rsidRPr="00BE1518" w:rsidRDefault="00A21D1E" w:rsidP="00884766">
            <w:pPr>
              <w:pStyle w:val="TableText"/>
              <w:spacing w:after="96"/>
            </w:pPr>
            <w:r w:rsidRPr="00BE1518">
              <w:t>2,682</w:t>
            </w:r>
          </w:p>
        </w:tc>
      </w:tr>
      <w:tr w:rsidR="00A21D1E" w:rsidRPr="00BE1518" w14:paraId="54154E87" w14:textId="77777777" w:rsidTr="00A21D1E">
        <w:tc>
          <w:tcPr>
            <w:tcW w:w="2369" w:type="dxa"/>
            <w:vAlign w:val="center"/>
          </w:tcPr>
          <w:p w14:paraId="20B2F81E" w14:textId="31B16C97" w:rsidR="00A21D1E" w:rsidRPr="00BE1518" w:rsidRDefault="00A21D1E" w:rsidP="00884766">
            <w:pPr>
              <w:pStyle w:val="TableText"/>
              <w:spacing w:after="96"/>
              <w:jc w:val="left"/>
            </w:pPr>
            <w:r w:rsidRPr="00BE1518">
              <w:t>Healthcare Land Use</w:t>
            </w:r>
          </w:p>
        </w:tc>
        <w:tc>
          <w:tcPr>
            <w:tcW w:w="2370" w:type="dxa"/>
          </w:tcPr>
          <w:p w14:paraId="242B9AAC" w14:textId="036A7204" w:rsidR="00A21D1E" w:rsidRPr="00BE1518" w:rsidRDefault="00A21D1E" w:rsidP="00884766">
            <w:pPr>
              <w:pStyle w:val="TableText"/>
              <w:spacing w:after="96"/>
            </w:pPr>
            <w:r w:rsidRPr="00BE1518">
              <w:t>2000</w:t>
            </w:r>
            <w:r w:rsidR="00C30FB0" w:rsidRPr="00BE1518">
              <w:t xml:space="preserve"> m</w:t>
            </w:r>
            <w:r w:rsidR="00C30FB0" w:rsidRPr="00BE1518">
              <w:rPr>
                <w:vertAlign w:val="superscript"/>
              </w:rPr>
              <w:t>2</w:t>
            </w:r>
          </w:p>
        </w:tc>
        <w:tc>
          <w:tcPr>
            <w:tcW w:w="2369" w:type="dxa"/>
          </w:tcPr>
          <w:p w14:paraId="37D97B8C" w14:textId="073293B0" w:rsidR="00A21D1E" w:rsidRPr="00BE1518" w:rsidRDefault="00A21D1E" w:rsidP="00884766">
            <w:pPr>
              <w:pStyle w:val="TableText"/>
              <w:spacing w:after="96"/>
            </w:pPr>
            <w:r w:rsidRPr="00BE1518">
              <w:t>44.4</w:t>
            </w:r>
          </w:p>
        </w:tc>
        <w:tc>
          <w:tcPr>
            <w:tcW w:w="2370" w:type="dxa"/>
          </w:tcPr>
          <w:p w14:paraId="0CE54F06" w14:textId="7859C6DA" w:rsidR="00A21D1E" w:rsidRPr="00BE1518" w:rsidRDefault="00A21D1E" w:rsidP="00884766">
            <w:pPr>
              <w:pStyle w:val="TableText"/>
              <w:spacing w:after="96"/>
            </w:pPr>
            <w:r w:rsidRPr="00BE1518">
              <w:t>88,800</w:t>
            </w:r>
          </w:p>
        </w:tc>
      </w:tr>
      <w:tr w:rsidR="004670DD" w:rsidRPr="00BE1518" w14:paraId="45C4840D" w14:textId="77777777" w:rsidTr="00A21D1E">
        <w:tc>
          <w:tcPr>
            <w:tcW w:w="2369" w:type="dxa"/>
            <w:vAlign w:val="center"/>
          </w:tcPr>
          <w:p w14:paraId="40295CBC" w14:textId="53CD7984" w:rsidR="004670DD" w:rsidRPr="00BE1518" w:rsidRDefault="004670DD" w:rsidP="00884766">
            <w:pPr>
              <w:pStyle w:val="TableText"/>
              <w:spacing w:after="96"/>
              <w:jc w:val="left"/>
            </w:pPr>
            <w:r w:rsidRPr="00BE1518">
              <w:t>Nursery Land Use</w:t>
            </w:r>
          </w:p>
        </w:tc>
        <w:tc>
          <w:tcPr>
            <w:tcW w:w="2370" w:type="dxa"/>
          </w:tcPr>
          <w:p w14:paraId="0DD75F1C" w14:textId="1155EEB3" w:rsidR="004670DD" w:rsidRPr="00BE1518" w:rsidRDefault="004670DD" w:rsidP="00884766">
            <w:pPr>
              <w:pStyle w:val="TableText"/>
              <w:spacing w:after="96"/>
            </w:pPr>
            <w:r w:rsidRPr="00BE1518">
              <w:t>500 m</w:t>
            </w:r>
            <w:r w:rsidRPr="00BE1518">
              <w:rPr>
                <w:vertAlign w:val="superscript"/>
              </w:rPr>
              <w:t>2</w:t>
            </w:r>
          </w:p>
        </w:tc>
        <w:tc>
          <w:tcPr>
            <w:tcW w:w="2369" w:type="dxa"/>
          </w:tcPr>
          <w:p w14:paraId="1A6866B4" w14:textId="24C51F94" w:rsidR="004670DD" w:rsidRPr="00BE1518" w:rsidRDefault="004670DD" w:rsidP="00884766">
            <w:pPr>
              <w:pStyle w:val="TableText"/>
              <w:spacing w:after="96"/>
            </w:pPr>
            <w:r w:rsidRPr="00BE1518">
              <w:t>44.4</w:t>
            </w:r>
          </w:p>
        </w:tc>
        <w:tc>
          <w:tcPr>
            <w:tcW w:w="2370" w:type="dxa"/>
          </w:tcPr>
          <w:p w14:paraId="3238BD57" w14:textId="2D9DE732" w:rsidR="004670DD" w:rsidRPr="00BE1518" w:rsidRDefault="004670DD" w:rsidP="00884766">
            <w:pPr>
              <w:pStyle w:val="TableText"/>
              <w:spacing w:after="96"/>
            </w:pPr>
            <w:r w:rsidRPr="00BE1518">
              <w:t>22,200</w:t>
            </w:r>
          </w:p>
        </w:tc>
      </w:tr>
      <w:tr w:rsidR="00A21D1E" w:rsidRPr="00BE1518" w14:paraId="7581A4FF" w14:textId="77777777" w:rsidTr="00A21D1E">
        <w:tc>
          <w:tcPr>
            <w:tcW w:w="2369" w:type="dxa"/>
            <w:vAlign w:val="center"/>
          </w:tcPr>
          <w:p w14:paraId="022B264F" w14:textId="755A75AC" w:rsidR="00A21D1E" w:rsidRPr="00BE1518" w:rsidRDefault="00A21D1E" w:rsidP="00884766">
            <w:pPr>
              <w:pStyle w:val="TableText"/>
              <w:spacing w:after="96"/>
              <w:jc w:val="left"/>
            </w:pPr>
            <w:r w:rsidRPr="00BE1518">
              <w:t>Total (TEB)</w:t>
            </w:r>
          </w:p>
        </w:tc>
        <w:tc>
          <w:tcPr>
            <w:tcW w:w="2370" w:type="dxa"/>
          </w:tcPr>
          <w:p w14:paraId="4C695E2B" w14:textId="77777777" w:rsidR="00A21D1E" w:rsidRPr="00BE1518" w:rsidRDefault="00A21D1E" w:rsidP="00884766">
            <w:pPr>
              <w:pStyle w:val="TableText"/>
              <w:spacing w:after="96"/>
            </w:pPr>
          </w:p>
        </w:tc>
        <w:tc>
          <w:tcPr>
            <w:tcW w:w="2369" w:type="dxa"/>
          </w:tcPr>
          <w:p w14:paraId="014E7DAE" w14:textId="77777777" w:rsidR="00A21D1E" w:rsidRPr="00BE1518" w:rsidRDefault="00A21D1E" w:rsidP="00884766">
            <w:pPr>
              <w:pStyle w:val="TableText"/>
              <w:spacing w:after="96"/>
            </w:pPr>
          </w:p>
        </w:tc>
        <w:tc>
          <w:tcPr>
            <w:tcW w:w="2370" w:type="dxa"/>
          </w:tcPr>
          <w:p w14:paraId="3B382F76" w14:textId="25F69905" w:rsidR="00A21D1E" w:rsidRPr="00BE1518" w:rsidRDefault="004670DD" w:rsidP="00884766">
            <w:pPr>
              <w:pStyle w:val="TableText"/>
              <w:spacing w:after="96"/>
            </w:pPr>
            <w:r w:rsidRPr="00BE1518">
              <w:t>113,682</w:t>
            </w:r>
          </w:p>
        </w:tc>
      </w:tr>
    </w:tbl>
    <w:p w14:paraId="1E0D6693" w14:textId="2F57D7B3" w:rsidR="003714C5" w:rsidRPr="00BE1518" w:rsidRDefault="009C6DD8" w:rsidP="006B4402">
      <w:pPr>
        <w:pStyle w:val="NumberedParagraph"/>
        <w:ind w:left="709" w:hanging="709"/>
        <w:jc w:val="both"/>
      </w:pPr>
      <w:r w:rsidRPr="00BE1518">
        <w:t xml:space="preserve">The transport assessment for the development predicted that the development would generate a total of </w:t>
      </w:r>
      <w:r w:rsidR="00BC157C" w:rsidRPr="00BE1518">
        <w:t>112</w:t>
      </w:r>
      <w:r w:rsidRPr="00BE1518">
        <w:t>,</w:t>
      </w:r>
      <w:r w:rsidR="00BC157C" w:rsidRPr="00BE1518">
        <w:t>417</w:t>
      </w:r>
      <w:r w:rsidRPr="00BE1518">
        <w:t xml:space="preserve"> trips per annum, comprising trips relating to each of the following land uses:</w:t>
      </w:r>
    </w:p>
    <w:p w14:paraId="539DD5BF" w14:textId="6CA440BA" w:rsidR="009C6DD8" w:rsidRPr="00BE1518" w:rsidRDefault="009C6DD8" w:rsidP="009C6DD8">
      <w:pPr>
        <w:pStyle w:val="Bullets-Square"/>
      </w:pPr>
      <w:r w:rsidRPr="00BE1518">
        <w:t>Residential (6 units): 3,833</w:t>
      </w:r>
      <w:r w:rsidR="00163284">
        <w:rPr>
          <w:rStyle w:val="FootnoteReference"/>
        </w:rPr>
        <w:footnoteReference w:id="5"/>
      </w:r>
    </w:p>
    <w:p w14:paraId="5F154303" w14:textId="0AAC5E6E" w:rsidR="009C6DD8" w:rsidRPr="00BE1518" w:rsidRDefault="009C6DD8" w:rsidP="009C6DD8">
      <w:pPr>
        <w:pStyle w:val="Bullets-Square"/>
      </w:pPr>
      <w:r w:rsidRPr="00BE1518">
        <w:t xml:space="preserve">Healthcare: </w:t>
      </w:r>
      <w:r w:rsidR="00BC157C" w:rsidRPr="00BE1518">
        <w:t>69</w:t>
      </w:r>
      <w:r w:rsidRPr="00BE1518">
        <w:t>,</w:t>
      </w:r>
      <w:r w:rsidR="00BC157C" w:rsidRPr="00BE1518">
        <w:t>414</w:t>
      </w:r>
    </w:p>
    <w:p w14:paraId="11AF671F" w14:textId="3746C852" w:rsidR="00BC157C" w:rsidRPr="00BE1518" w:rsidRDefault="00BC157C" w:rsidP="009C6DD8">
      <w:pPr>
        <w:pStyle w:val="Bullets-Square"/>
      </w:pPr>
      <w:r w:rsidRPr="00BE1518">
        <w:t>Nursery: 39,171</w:t>
      </w:r>
    </w:p>
    <w:p w14:paraId="630E1922" w14:textId="2C58A575" w:rsidR="006B4402" w:rsidRPr="00BE1518" w:rsidRDefault="009C6DD8" w:rsidP="006B4402">
      <w:pPr>
        <w:pStyle w:val="NumberedParagraph"/>
        <w:ind w:left="709" w:hanging="709"/>
        <w:jc w:val="both"/>
      </w:pPr>
      <w:r w:rsidRPr="00BE1518">
        <w:t xml:space="preserve">The total development trip rate is lower than the TEB. The </w:t>
      </w:r>
      <w:r w:rsidR="00FE5D50" w:rsidRPr="00BE1518">
        <w:t>additional 6 residential units</w:t>
      </w:r>
      <w:r w:rsidR="00BC157C" w:rsidRPr="00BE1518">
        <w:t xml:space="preserve"> and </w:t>
      </w:r>
      <w:r w:rsidR="00FE5D50" w:rsidRPr="00BE1518">
        <w:t xml:space="preserve">the proposed healthcare </w:t>
      </w:r>
      <w:r w:rsidR="00BC157C" w:rsidRPr="00BE1518">
        <w:t xml:space="preserve">and nursery </w:t>
      </w:r>
      <w:r w:rsidR="00FE5D50" w:rsidRPr="00BE1518">
        <w:t>land use</w:t>
      </w:r>
      <w:r w:rsidR="00BC157C" w:rsidRPr="00BE1518">
        <w:t>s</w:t>
      </w:r>
      <w:r w:rsidR="00FE5D50" w:rsidRPr="00BE1518">
        <w:t xml:space="preserve"> are considered </w:t>
      </w:r>
      <w:r w:rsidRPr="00BE1518">
        <w:t>‘air quality neutral’ in terms of transport emissions</w:t>
      </w:r>
      <w:r w:rsidR="006B4402" w:rsidRPr="00BE1518">
        <w:t>.</w:t>
      </w:r>
    </w:p>
    <w:p w14:paraId="53AAF1A6" w14:textId="31470312" w:rsidR="00175D37" w:rsidRPr="00BE1518" w:rsidRDefault="007F7E75" w:rsidP="00C90F05">
      <w:pPr>
        <w:pStyle w:val="Heading2"/>
        <w:jc w:val="both"/>
      </w:pPr>
      <w:r w:rsidRPr="00BE1518">
        <w:t>Proposed Air Quality Contributions</w:t>
      </w:r>
    </w:p>
    <w:p w14:paraId="7B27B71B" w14:textId="562BBD99" w:rsidR="00074296" w:rsidRDefault="007F7E75" w:rsidP="00074296">
      <w:pPr>
        <w:pStyle w:val="NumberedParagraph"/>
        <w:ind w:left="709" w:hanging="709"/>
        <w:jc w:val="both"/>
      </w:pPr>
      <w:r w:rsidRPr="00BE1518">
        <w:t xml:space="preserve">The calculations follow the methodology proposed and agreed between Stantec and the London Borough of Hillingdon (LBH) Air Quality team regarding the calculation of the financial contribution for air quality associated with the extant planning permission (ref. </w:t>
      </w:r>
      <w:r w:rsidR="00AB723E" w:rsidRPr="00BE1518">
        <w:t>1331/APP/2019/2314</w:t>
      </w:r>
      <w:r w:rsidRPr="00BE1518">
        <w:t>). This is not the damage cost of the emissions above the air quality neutral requirements, but the amount related to the total emissions</w:t>
      </w:r>
      <w:r w:rsidR="00FE5D50" w:rsidRPr="00BE1518">
        <w:t xml:space="preserve"> from the 6 additional residential units</w:t>
      </w:r>
      <w:r w:rsidRPr="00BE1518">
        <w:t>.</w:t>
      </w:r>
      <w:r w:rsidR="002B171A">
        <w:t xml:space="preserve"> </w:t>
      </w:r>
    </w:p>
    <w:p w14:paraId="67158D1E" w14:textId="1C609D3D" w:rsidR="002B171A" w:rsidRPr="00BE1518" w:rsidRDefault="002B171A" w:rsidP="00074296">
      <w:pPr>
        <w:pStyle w:val="NumberedParagraph"/>
        <w:ind w:left="709" w:hanging="709"/>
        <w:jc w:val="both"/>
      </w:pPr>
      <w:r>
        <w:t xml:space="preserve">As stated previously, the development is </w:t>
      </w:r>
      <w:proofErr w:type="gramStart"/>
      <w:r>
        <w:t>no</w:t>
      </w:r>
      <w:proofErr w:type="gramEnd"/>
      <w:r>
        <w:t xml:space="preserve"> providing any additional residential car parking to support the uplift in unit numbers and the area surrounding the site is covered by residential parking controls</w:t>
      </w:r>
      <w:r w:rsidR="001E3ECD">
        <w:t xml:space="preserve">. </w:t>
      </w:r>
      <w:proofErr w:type="gramStart"/>
      <w:r w:rsidR="001E3ECD">
        <w:t>Therefore</w:t>
      </w:r>
      <w:proofErr w:type="gramEnd"/>
      <w:r w:rsidR="001E3ECD">
        <w:t xml:space="preserve"> </w:t>
      </w:r>
      <w:r>
        <w:t xml:space="preserve">the development would not result in any additional vehicle trips </w:t>
      </w:r>
      <w:r w:rsidR="001E3ECD">
        <w:t>as a result of the 6 additional units.</w:t>
      </w:r>
    </w:p>
    <w:p w14:paraId="7A23235D" w14:textId="41AB40E5" w:rsidR="004820AC" w:rsidRPr="00BE1518" w:rsidRDefault="004820AC" w:rsidP="00C90F05">
      <w:pPr>
        <w:pStyle w:val="Heading2"/>
        <w:jc w:val="both"/>
      </w:pPr>
      <w:r w:rsidRPr="00BE1518">
        <w:lastRenderedPageBreak/>
        <w:t>Summary</w:t>
      </w:r>
    </w:p>
    <w:p w14:paraId="1710A1AA" w14:textId="59D99681" w:rsidR="007E3D86" w:rsidRPr="00BE1518" w:rsidRDefault="007E3D86" w:rsidP="00D352B4">
      <w:pPr>
        <w:pStyle w:val="NumberedParagraph"/>
        <w:ind w:left="709" w:hanging="709"/>
        <w:jc w:val="both"/>
      </w:pPr>
      <w:r w:rsidRPr="00BE1518">
        <w:t xml:space="preserve">As summarised in this Note, it is considered that the </w:t>
      </w:r>
      <w:r w:rsidR="006C3787" w:rsidRPr="00BE1518">
        <w:t>proposed development</w:t>
      </w:r>
      <w:r w:rsidRPr="00BE1518">
        <w:t xml:space="preserve"> does not have the potential to result in significantly differing impacts beyond those identified in the </w:t>
      </w:r>
      <w:r w:rsidR="006C3787" w:rsidRPr="00BE1518">
        <w:t>2020 air quality assessment</w:t>
      </w:r>
      <w:r w:rsidRPr="00BE1518">
        <w:t xml:space="preserve"> in relation to baseline air quality conditions, construction dust and operational impacts. </w:t>
      </w:r>
    </w:p>
    <w:p w14:paraId="25D2AC20" w14:textId="6EED9C8E" w:rsidR="009C2CEF" w:rsidRPr="00BE1518" w:rsidRDefault="007E3D86" w:rsidP="007E3D86">
      <w:pPr>
        <w:pStyle w:val="NumberedParagraph"/>
        <w:ind w:left="709" w:hanging="709"/>
        <w:jc w:val="both"/>
      </w:pPr>
      <w:r w:rsidRPr="00BE1518">
        <w:t>Therefore, the proposal accords with the approved planning permission and is considered acceptable in terms of air quality.</w:t>
      </w:r>
    </w:p>
    <w:sectPr w:rsidR="009C2CEF" w:rsidRPr="00BE1518" w:rsidSect="00A77C9C">
      <w:headerReference w:type="default" r:id="rId11"/>
      <w:footerReference w:type="default" r:id="rId12"/>
      <w:headerReference w:type="first" r:id="rId13"/>
      <w:footerReference w:type="first" r:id="rId14"/>
      <w:pgSz w:w="11907" w:h="16840" w:code="9"/>
      <w:pgMar w:top="1670" w:right="1008" w:bottom="1440" w:left="1411" w:header="706" w:footer="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9D793" w14:textId="77777777" w:rsidR="00341BC2" w:rsidRDefault="00341BC2">
      <w:r>
        <w:separator/>
      </w:r>
    </w:p>
  </w:endnote>
  <w:endnote w:type="continuationSeparator" w:id="0">
    <w:p w14:paraId="7EA7C640" w14:textId="77777777" w:rsidR="00341BC2" w:rsidRDefault="0034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505303"/>
      <w:docPartObj>
        <w:docPartGallery w:val="Page Numbers (Bottom of Page)"/>
        <w:docPartUnique/>
      </w:docPartObj>
    </w:sdtPr>
    <w:sdtEndPr>
      <w:rPr>
        <w:noProof/>
      </w:rPr>
    </w:sdtEndPr>
    <w:sdtContent>
      <w:p w14:paraId="2FE9E5F0" w14:textId="6296D770" w:rsidR="002B5A8A" w:rsidRDefault="002B5A8A">
        <w:pPr>
          <w:pStyle w:val="Footer"/>
          <w:jc w:val="right"/>
        </w:pPr>
        <w:r w:rsidRPr="00A77C9C">
          <w:rPr>
            <w:rFonts w:ascii="Arial" w:hAnsi="Arial" w:cs="Arial"/>
            <w:sz w:val="18"/>
            <w:szCs w:val="18"/>
          </w:rPr>
          <w:fldChar w:fldCharType="begin"/>
        </w:r>
        <w:r w:rsidRPr="00A77C9C">
          <w:rPr>
            <w:rFonts w:ascii="Arial" w:hAnsi="Arial" w:cs="Arial"/>
            <w:sz w:val="18"/>
            <w:szCs w:val="18"/>
          </w:rPr>
          <w:instrText xml:space="preserve"> PAGE   \* MERGEFORMAT </w:instrText>
        </w:r>
        <w:r w:rsidRPr="00A77C9C">
          <w:rPr>
            <w:rFonts w:ascii="Arial" w:hAnsi="Arial" w:cs="Arial"/>
            <w:sz w:val="18"/>
            <w:szCs w:val="18"/>
          </w:rPr>
          <w:fldChar w:fldCharType="separate"/>
        </w:r>
        <w:r w:rsidRPr="00A77C9C">
          <w:rPr>
            <w:rFonts w:ascii="Arial" w:hAnsi="Arial" w:cs="Arial"/>
            <w:noProof/>
            <w:sz w:val="18"/>
            <w:szCs w:val="18"/>
          </w:rPr>
          <w:t>2</w:t>
        </w:r>
        <w:r w:rsidRPr="00A77C9C">
          <w:rPr>
            <w:rFonts w:ascii="Arial" w:hAnsi="Arial" w:cs="Arial"/>
            <w:noProof/>
            <w:sz w:val="18"/>
            <w:szCs w:val="18"/>
          </w:rPr>
          <w:fldChar w:fldCharType="end"/>
        </w:r>
      </w:p>
    </w:sdtContent>
  </w:sdt>
  <w:p w14:paraId="3B52E16E" w14:textId="77777777" w:rsidR="007A4F11" w:rsidRDefault="007A4F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0842A" w14:textId="7AC0F8E7" w:rsidR="002B5A8A" w:rsidRDefault="002B5A8A">
    <w:pPr>
      <w:pStyle w:val="Footer"/>
    </w:pPr>
    <w:r w:rsidRPr="00FB4F51">
      <w:rPr>
        <w:noProof/>
        <w:lang w:eastAsia="en-GB"/>
      </w:rPr>
      <mc:AlternateContent>
        <mc:Choice Requires="wps">
          <w:drawing>
            <wp:anchor distT="0" distB="0" distL="114300" distR="114300" simplePos="0" relativeHeight="251660288" behindDoc="0" locked="0" layoutInCell="1" allowOverlap="1" wp14:anchorId="54DF58F1" wp14:editId="1763FAEE">
              <wp:simplePos x="0" y="0"/>
              <wp:positionH relativeFrom="margin">
                <wp:posOffset>-131445</wp:posOffset>
              </wp:positionH>
              <wp:positionV relativeFrom="paragraph">
                <wp:posOffset>-1369060</wp:posOffset>
              </wp:positionV>
              <wp:extent cx="6153150" cy="165735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65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024A5F" w14:textId="77777777" w:rsidR="002B5A8A" w:rsidRPr="00C4440C" w:rsidRDefault="002B5A8A" w:rsidP="002B5A8A">
                          <w:pPr>
                            <w:tabs>
                              <w:tab w:val="left" w:pos="2340"/>
                              <w:tab w:val="left" w:pos="4500"/>
                              <w:tab w:val="left" w:pos="6300"/>
                            </w:tabs>
                            <w:rPr>
                              <w:rFonts w:ascii="Arial" w:hAnsi="Arial" w:cs="Arial"/>
                              <w:b/>
                              <w:sz w:val="20"/>
                              <w:szCs w:val="20"/>
                            </w:rPr>
                          </w:pPr>
                          <w:r w:rsidRPr="00C4440C">
                            <w:rPr>
                              <w:rFonts w:ascii="Arial" w:hAnsi="Arial" w:cs="Arial"/>
                              <w:b/>
                              <w:sz w:val="20"/>
                              <w:szCs w:val="20"/>
                            </w:rPr>
                            <w:t>DOCUMENT ISSUE RECORD</w:t>
                          </w:r>
                        </w:p>
                        <w:tbl>
                          <w:tblPr>
                            <w:tblW w:w="8460" w:type="dxa"/>
                            <w:tblInd w:w="108" w:type="dxa"/>
                            <w:tblBorders>
                              <w:top w:val="single" w:sz="8" w:space="0" w:color="323232"/>
                              <w:left w:val="single" w:sz="8" w:space="0" w:color="323232"/>
                              <w:bottom w:val="single" w:sz="8" w:space="0" w:color="323232"/>
                              <w:right w:val="single" w:sz="8" w:space="0" w:color="323232"/>
                              <w:insideH w:val="single" w:sz="8" w:space="0" w:color="323232"/>
                              <w:insideV w:val="single" w:sz="8" w:space="0" w:color="323232"/>
                            </w:tblBorders>
                            <w:tblLayout w:type="fixed"/>
                            <w:tblLook w:val="04A0" w:firstRow="1" w:lastRow="0" w:firstColumn="1" w:lastColumn="0" w:noHBand="0" w:noVBand="1"/>
                          </w:tblPr>
                          <w:tblGrid>
                            <w:gridCol w:w="2011"/>
                            <w:gridCol w:w="1172"/>
                            <w:gridCol w:w="1759"/>
                            <w:gridCol w:w="1759"/>
                            <w:gridCol w:w="1759"/>
                          </w:tblGrid>
                          <w:tr w:rsidR="00B661FD" w:rsidRPr="00C4440C" w14:paraId="4DFED250" w14:textId="77777777" w:rsidTr="00B661FD">
                            <w:trPr>
                              <w:trHeight w:val="271"/>
                            </w:trPr>
                            <w:tc>
                              <w:tcPr>
                                <w:tcW w:w="2011" w:type="dxa"/>
                                <w:tcBorders>
                                  <w:top w:val="single" w:sz="2" w:space="0" w:color="auto"/>
                                  <w:left w:val="single" w:sz="2" w:space="0" w:color="auto"/>
                                  <w:bottom w:val="single" w:sz="4" w:space="0" w:color="auto"/>
                                  <w:right w:val="single" w:sz="2" w:space="0" w:color="auto"/>
                                </w:tcBorders>
                                <w:shd w:val="clear" w:color="auto" w:fill="auto"/>
                                <w:vAlign w:val="center"/>
                              </w:tcPr>
                              <w:p w14:paraId="06EBE792" w14:textId="77777777" w:rsidR="00B661FD" w:rsidRPr="00A824AA" w:rsidRDefault="00B661FD" w:rsidP="006079CA">
                                <w:pPr>
                                  <w:rPr>
                                    <w:rFonts w:ascii="Arial" w:hAnsi="Arial" w:cs="Arial"/>
                                    <w:sz w:val="16"/>
                                    <w:szCs w:val="16"/>
                                  </w:rPr>
                                </w:pPr>
                                <w:r w:rsidRPr="00A824AA">
                                  <w:rPr>
                                    <w:rFonts w:ascii="Arial" w:hAnsi="Arial" w:cs="Arial"/>
                                    <w:sz w:val="16"/>
                                    <w:szCs w:val="16"/>
                                  </w:rPr>
                                  <w:t>Technical Note No</w:t>
                                </w:r>
                              </w:p>
                            </w:tc>
                            <w:tc>
                              <w:tcPr>
                                <w:tcW w:w="1172" w:type="dxa"/>
                                <w:tcBorders>
                                  <w:top w:val="single" w:sz="2" w:space="0" w:color="auto"/>
                                  <w:left w:val="single" w:sz="2" w:space="0" w:color="auto"/>
                                  <w:bottom w:val="single" w:sz="4" w:space="0" w:color="auto"/>
                                  <w:right w:val="single" w:sz="2" w:space="0" w:color="auto"/>
                                </w:tcBorders>
                                <w:shd w:val="clear" w:color="auto" w:fill="auto"/>
                                <w:vAlign w:val="center"/>
                              </w:tcPr>
                              <w:p w14:paraId="0AFE5608" w14:textId="77777777" w:rsidR="00B661FD" w:rsidRPr="00A824AA" w:rsidRDefault="00B661FD" w:rsidP="006079CA">
                                <w:pPr>
                                  <w:jc w:val="center"/>
                                  <w:rPr>
                                    <w:rFonts w:ascii="Arial" w:hAnsi="Arial" w:cs="Arial"/>
                                    <w:sz w:val="16"/>
                                    <w:szCs w:val="16"/>
                                  </w:rPr>
                                </w:pPr>
                                <w:r w:rsidRPr="00A824AA">
                                  <w:rPr>
                                    <w:rFonts w:ascii="Arial" w:hAnsi="Arial" w:cs="Arial"/>
                                    <w:sz w:val="16"/>
                                    <w:szCs w:val="16"/>
                                  </w:rPr>
                                  <w:t>Date</w:t>
                                </w:r>
                              </w:p>
                            </w:tc>
                            <w:tc>
                              <w:tcPr>
                                <w:tcW w:w="1759" w:type="dxa"/>
                                <w:tcBorders>
                                  <w:top w:val="single" w:sz="2" w:space="0" w:color="auto"/>
                                  <w:left w:val="single" w:sz="2" w:space="0" w:color="auto"/>
                                  <w:bottom w:val="single" w:sz="4" w:space="0" w:color="auto"/>
                                  <w:right w:val="single" w:sz="2" w:space="0" w:color="auto"/>
                                </w:tcBorders>
                                <w:shd w:val="clear" w:color="auto" w:fill="auto"/>
                                <w:vAlign w:val="center"/>
                              </w:tcPr>
                              <w:p w14:paraId="5A3737F0" w14:textId="77777777" w:rsidR="00B661FD" w:rsidRPr="00A824AA" w:rsidRDefault="00B661FD" w:rsidP="006079CA">
                                <w:pPr>
                                  <w:jc w:val="center"/>
                                  <w:rPr>
                                    <w:rFonts w:ascii="Arial" w:hAnsi="Arial" w:cs="Arial"/>
                                    <w:sz w:val="16"/>
                                    <w:szCs w:val="16"/>
                                  </w:rPr>
                                </w:pPr>
                                <w:r w:rsidRPr="00A824AA">
                                  <w:rPr>
                                    <w:rFonts w:ascii="Arial" w:hAnsi="Arial" w:cs="Arial"/>
                                    <w:sz w:val="16"/>
                                    <w:szCs w:val="16"/>
                                  </w:rPr>
                                  <w:t>Prepared</w:t>
                                </w:r>
                              </w:p>
                            </w:tc>
                            <w:tc>
                              <w:tcPr>
                                <w:tcW w:w="1759" w:type="dxa"/>
                                <w:tcBorders>
                                  <w:top w:val="single" w:sz="2" w:space="0" w:color="auto"/>
                                  <w:left w:val="single" w:sz="2" w:space="0" w:color="auto"/>
                                  <w:bottom w:val="single" w:sz="4" w:space="0" w:color="auto"/>
                                  <w:right w:val="single" w:sz="2" w:space="0" w:color="auto"/>
                                </w:tcBorders>
                                <w:shd w:val="clear" w:color="auto" w:fill="auto"/>
                                <w:vAlign w:val="center"/>
                              </w:tcPr>
                              <w:p w14:paraId="5DE46D48" w14:textId="2E893B30" w:rsidR="00B661FD" w:rsidRPr="00A824AA" w:rsidRDefault="00B661FD" w:rsidP="001C4BA3">
                                <w:pPr>
                                  <w:jc w:val="center"/>
                                  <w:rPr>
                                    <w:rFonts w:ascii="Arial" w:hAnsi="Arial" w:cs="Arial"/>
                                    <w:sz w:val="14"/>
                                    <w:szCs w:val="14"/>
                                  </w:rPr>
                                </w:pPr>
                                <w:r w:rsidRPr="00A824AA">
                                  <w:rPr>
                                    <w:rFonts w:ascii="Arial" w:hAnsi="Arial" w:cs="Arial"/>
                                    <w:sz w:val="16"/>
                                    <w:szCs w:val="16"/>
                                  </w:rPr>
                                  <w:t>Reviewed</w:t>
                                </w:r>
                              </w:p>
                            </w:tc>
                            <w:tc>
                              <w:tcPr>
                                <w:tcW w:w="1759" w:type="dxa"/>
                                <w:tcBorders>
                                  <w:top w:val="single" w:sz="2" w:space="0" w:color="auto"/>
                                  <w:left w:val="single" w:sz="2" w:space="0" w:color="auto"/>
                                  <w:bottom w:val="single" w:sz="4" w:space="0" w:color="auto"/>
                                  <w:right w:val="single" w:sz="2" w:space="0" w:color="auto"/>
                                </w:tcBorders>
                                <w:shd w:val="clear" w:color="auto" w:fill="auto"/>
                                <w:vAlign w:val="center"/>
                              </w:tcPr>
                              <w:p w14:paraId="1F414670" w14:textId="77777777" w:rsidR="00B661FD" w:rsidRPr="00A824AA" w:rsidRDefault="00B661FD" w:rsidP="006079CA">
                                <w:pPr>
                                  <w:jc w:val="center"/>
                                  <w:rPr>
                                    <w:rFonts w:ascii="Arial" w:hAnsi="Arial" w:cs="Arial"/>
                                    <w:sz w:val="16"/>
                                    <w:szCs w:val="16"/>
                                  </w:rPr>
                                </w:pPr>
                                <w:r w:rsidRPr="00A824AA">
                                  <w:rPr>
                                    <w:rFonts w:ascii="Arial" w:hAnsi="Arial" w:cs="Arial"/>
                                    <w:sz w:val="16"/>
                                    <w:szCs w:val="16"/>
                                  </w:rPr>
                                  <w:t>Approved</w:t>
                                </w:r>
                              </w:p>
                              <w:p w14:paraId="26380404" w14:textId="77777777" w:rsidR="00B661FD" w:rsidRPr="00A824AA" w:rsidRDefault="00B661FD" w:rsidP="006079CA">
                                <w:pPr>
                                  <w:jc w:val="center"/>
                                  <w:rPr>
                                    <w:rFonts w:ascii="Arial" w:hAnsi="Arial" w:cs="Arial"/>
                                    <w:sz w:val="14"/>
                                    <w:szCs w:val="14"/>
                                  </w:rPr>
                                </w:pPr>
                                <w:r w:rsidRPr="00A824AA">
                                  <w:rPr>
                                    <w:rFonts w:ascii="Arial" w:hAnsi="Arial" w:cs="Arial"/>
                                    <w:sz w:val="14"/>
                                    <w:szCs w:val="14"/>
                                  </w:rPr>
                                  <w:t>(Project Director)</w:t>
                                </w:r>
                              </w:p>
                            </w:tc>
                          </w:tr>
                          <w:tr w:rsidR="00B661FD" w:rsidRPr="00C4440C" w14:paraId="78942916" w14:textId="77777777" w:rsidTr="00B661FD">
                            <w:trPr>
                              <w:trHeight w:val="180"/>
                            </w:trPr>
                            <w:tc>
                              <w:tcPr>
                                <w:tcW w:w="2011" w:type="dxa"/>
                                <w:tcBorders>
                                  <w:top w:val="single" w:sz="4" w:space="0" w:color="auto"/>
                                  <w:left w:val="single" w:sz="4" w:space="0" w:color="auto"/>
                                  <w:bottom w:val="single" w:sz="4" w:space="0" w:color="auto"/>
                                  <w:right w:val="single" w:sz="4" w:space="0" w:color="auto"/>
                                </w:tcBorders>
                                <w:shd w:val="clear" w:color="auto" w:fill="auto"/>
                                <w:vAlign w:val="center"/>
                              </w:tcPr>
                              <w:p w14:paraId="43D71E21" w14:textId="45C2BA4F" w:rsidR="00B661FD" w:rsidRPr="00C4440C" w:rsidRDefault="006B4402" w:rsidP="006079CA">
                                <w:pPr>
                                  <w:rPr>
                                    <w:rFonts w:ascii="Arial" w:hAnsi="Arial" w:cs="Arial"/>
                                    <w:sz w:val="16"/>
                                    <w:szCs w:val="16"/>
                                  </w:rPr>
                                </w:pPr>
                                <w:r w:rsidRPr="006B4402">
                                  <w:rPr>
                                    <w:rFonts w:ascii="Arial" w:hAnsi="Arial" w:cs="Arial"/>
                                    <w:sz w:val="16"/>
                                    <w:szCs w:val="16"/>
                                  </w:rPr>
                                  <w:t>33</w:t>
                                </w:r>
                                <w:r w:rsidR="0097017D">
                                  <w:rPr>
                                    <w:rFonts w:ascii="Arial" w:hAnsi="Arial" w:cs="Arial"/>
                                    <w:sz w:val="16"/>
                                    <w:szCs w:val="16"/>
                                  </w:rPr>
                                  <w:t>2</w:t>
                                </w:r>
                                <w:r w:rsidRPr="006B4402">
                                  <w:rPr>
                                    <w:rFonts w:ascii="Arial" w:hAnsi="Arial" w:cs="Arial"/>
                                    <w:sz w:val="16"/>
                                    <w:szCs w:val="16"/>
                                  </w:rPr>
                                  <w:t>5</w:t>
                                </w:r>
                                <w:r w:rsidR="0097017D">
                                  <w:rPr>
                                    <w:rFonts w:ascii="Arial" w:hAnsi="Arial" w:cs="Arial"/>
                                    <w:sz w:val="16"/>
                                    <w:szCs w:val="16"/>
                                  </w:rPr>
                                  <w:t>11069</w:t>
                                </w:r>
                                <w:r w:rsidR="00B661FD" w:rsidRPr="007F5F59">
                                  <w:rPr>
                                    <w:rFonts w:ascii="Arial" w:hAnsi="Arial" w:cs="Arial"/>
                                    <w:sz w:val="16"/>
                                    <w:szCs w:val="16"/>
                                  </w:rPr>
                                  <w:t>/</w:t>
                                </w:r>
                                <w:r w:rsidR="00B661FD">
                                  <w:rPr>
                                    <w:rFonts w:ascii="Arial" w:hAnsi="Arial" w:cs="Arial"/>
                                    <w:sz w:val="16"/>
                                    <w:szCs w:val="16"/>
                                  </w:rPr>
                                  <w:t>AQ</w:t>
                                </w:r>
                                <w:r w:rsidR="00B661FD" w:rsidRPr="007F5F59">
                                  <w:rPr>
                                    <w:rFonts w:ascii="Arial" w:hAnsi="Arial" w:cs="Arial"/>
                                    <w:sz w:val="16"/>
                                    <w:szCs w:val="16"/>
                                  </w:rPr>
                                  <w:t>/</w:t>
                                </w:r>
                                <w:r w:rsidR="00B661FD">
                                  <w:rPr>
                                    <w:rFonts w:ascii="Arial" w:hAnsi="Arial" w:cs="Arial"/>
                                    <w:sz w:val="16"/>
                                    <w:szCs w:val="16"/>
                                  </w:rPr>
                                  <w:t>0</w:t>
                                </w:r>
                                <w:r w:rsidR="00BE1518">
                                  <w:rPr>
                                    <w:rFonts w:ascii="Arial" w:hAnsi="Arial" w:cs="Arial"/>
                                    <w:sz w:val="16"/>
                                    <w:szCs w:val="16"/>
                                  </w:rPr>
                                  <w:t>01</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0C339F4B" w14:textId="57DD334E" w:rsidR="00B661FD" w:rsidRPr="00C4440C" w:rsidRDefault="0097017D" w:rsidP="006079CA">
                                <w:pPr>
                                  <w:pStyle w:val="DocIssueRecord"/>
                                  <w:rPr>
                                    <w:rFonts w:cs="Arial"/>
                                  </w:rPr>
                                </w:pPr>
                                <w:r>
                                  <w:rPr>
                                    <w:rFonts w:cs="Arial"/>
                                  </w:rPr>
                                  <w:t>28</w:t>
                                </w:r>
                                <w:r w:rsidR="00CE5501">
                                  <w:rPr>
                                    <w:rFonts w:cs="Arial"/>
                                  </w:rPr>
                                  <w:t>/04/2022</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3372C09C" w14:textId="6C680C2C" w:rsidR="00B661FD" w:rsidRPr="00C4440C" w:rsidRDefault="00CE5501" w:rsidP="006079CA">
                                <w:pPr>
                                  <w:jc w:val="center"/>
                                  <w:rPr>
                                    <w:rFonts w:ascii="Arial" w:hAnsi="Arial" w:cs="Arial"/>
                                    <w:sz w:val="16"/>
                                    <w:szCs w:val="16"/>
                                  </w:rPr>
                                </w:pPr>
                                <w:r>
                                  <w:rPr>
                                    <w:rFonts w:ascii="Arial" w:hAnsi="Arial" w:cs="Arial"/>
                                    <w:sz w:val="16"/>
                                    <w:szCs w:val="16"/>
                                  </w:rPr>
                                  <w:t>CB</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5453FBA2" w14:textId="6E0AA08D" w:rsidR="00B661FD" w:rsidRPr="00C4440C" w:rsidRDefault="004C2B8E" w:rsidP="006079CA">
                                <w:pPr>
                                  <w:jc w:val="center"/>
                                  <w:rPr>
                                    <w:rFonts w:ascii="Arial" w:hAnsi="Arial" w:cs="Arial"/>
                                    <w:sz w:val="16"/>
                                    <w:szCs w:val="16"/>
                                  </w:rPr>
                                </w:pPr>
                                <w:r w:rsidRPr="00BF7E5C">
                                  <w:rPr>
                                    <w:rFonts w:ascii="Arial" w:hAnsi="Arial" w:cs="Arial"/>
                                    <w:sz w:val="16"/>
                                    <w:szCs w:val="16"/>
                                  </w:rPr>
                                  <w:t>KH</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34E96353" w14:textId="3BD9676C" w:rsidR="00B661FD" w:rsidRPr="00C4440C" w:rsidRDefault="00BE1518" w:rsidP="006079CA">
                                <w:pPr>
                                  <w:jc w:val="center"/>
                                  <w:rPr>
                                    <w:rFonts w:ascii="Arial" w:hAnsi="Arial" w:cs="Arial"/>
                                    <w:sz w:val="16"/>
                                    <w:szCs w:val="16"/>
                                  </w:rPr>
                                </w:pPr>
                                <w:r>
                                  <w:rPr>
                                    <w:rFonts w:ascii="Arial" w:hAnsi="Arial" w:cs="Arial"/>
                                    <w:sz w:val="16"/>
                                    <w:szCs w:val="16"/>
                                  </w:rPr>
                                  <w:t>PT</w:t>
                                </w:r>
                              </w:p>
                            </w:tc>
                          </w:tr>
                        </w:tbl>
                        <w:p w14:paraId="66F92B33" w14:textId="77777777" w:rsidR="002B5A8A" w:rsidRPr="00C4440C" w:rsidRDefault="002B5A8A" w:rsidP="002B5A8A">
                          <w:pPr>
                            <w:tabs>
                              <w:tab w:val="left" w:pos="2340"/>
                              <w:tab w:val="left" w:pos="4500"/>
                              <w:tab w:val="left" w:pos="6300"/>
                            </w:tabs>
                            <w:rPr>
                              <w:rFonts w:ascii="Arial" w:hAnsi="Arial" w:cs="Arial"/>
                              <w:sz w:val="14"/>
                              <w:szCs w:val="14"/>
                            </w:rPr>
                          </w:pPr>
                          <w:r w:rsidRPr="008C1C7C">
                            <w:rPr>
                              <w:rFonts w:ascii="Arial" w:hAnsi="Arial" w:cs="Arial"/>
                              <w:sz w:val="14"/>
                              <w:szCs w:val="14"/>
                            </w:rPr>
                            <w:t xml:space="preserve">This report has been prepared by Stantec UK Limited (‘Stantec’) on behalf of its client to whom this report is addressed (‘Client’) in connection with the project described in this report and </w:t>
                          </w:r>
                          <w:proofErr w:type="gramStart"/>
                          <w:r w:rsidRPr="008C1C7C">
                            <w:rPr>
                              <w:rFonts w:ascii="Arial" w:hAnsi="Arial" w:cs="Arial"/>
                              <w:sz w:val="14"/>
                              <w:szCs w:val="14"/>
                            </w:rPr>
                            <w:t>takes into account</w:t>
                          </w:r>
                          <w:proofErr w:type="gramEnd"/>
                          <w:r w:rsidRPr="008C1C7C">
                            <w:rPr>
                              <w:rFonts w:ascii="Arial" w:hAnsi="Arial" w:cs="Arial"/>
                              <w:sz w:val="14"/>
                              <w:szCs w:val="14"/>
                            </w:rPr>
                            <w:t xml:space="preserve"> the Client's particular instructions and requirements. This report was prepared in accordance with the professional services appointment under which Stantec was appointed by its </w:t>
                          </w:r>
                          <w:proofErr w:type="gramStart"/>
                          <w:r w:rsidRPr="008C1C7C">
                            <w:rPr>
                              <w:rFonts w:ascii="Arial" w:hAnsi="Arial" w:cs="Arial"/>
                              <w:sz w:val="14"/>
                              <w:szCs w:val="14"/>
                            </w:rPr>
                            <w:t>Client</w:t>
                          </w:r>
                          <w:proofErr w:type="gramEnd"/>
                          <w:r w:rsidRPr="008C1C7C">
                            <w:rPr>
                              <w:rFonts w:ascii="Arial" w:hAnsi="Arial" w:cs="Arial"/>
                              <w:sz w:val="14"/>
                              <w:szCs w:val="14"/>
                            </w:rPr>
                            <w:t>. This report is not intended for and should not be relied on by any third party (</w:t>
                          </w:r>
                          <w:proofErr w:type="gramStart"/>
                          <w:r w:rsidRPr="008C1C7C">
                            <w:rPr>
                              <w:rFonts w:ascii="Arial" w:hAnsi="Arial" w:cs="Arial"/>
                              <w:sz w:val="14"/>
                              <w:szCs w:val="14"/>
                            </w:rPr>
                            <w:t>i.e.</w:t>
                          </w:r>
                          <w:proofErr w:type="gramEnd"/>
                          <w:r w:rsidRPr="008C1C7C">
                            <w:rPr>
                              <w:rFonts w:ascii="Arial" w:hAnsi="Arial" w:cs="Arial"/>
                              <w:sz w:val="14"/>
                              <w:szCs w:val="14"/>
                            </w:rPr>
                            <w:t xml:space="preserve"> parties other than the Client). Stantec accepts no duty or responsibility (including in negligence) to any party other than the Client and disclaims all liability of any nature whatsoever to any such party in respect of this report.</w:t>
                          </w:r>
                          <w:r w:rsidRPr="00C4440C">
                            <w:rPr>
                              <w:rFonts w:ascii="Arial" w:hAnsi="Arial" w:cs="Arial"/>
                              <w:sz w:val="14"/>
                              <w:szCs w:val="14"/>
                            </w:rPr>
                            <w:t xml:space="preserve"> </w:t>
                          </w:r>
                        </w:p>
                        <w:p w14:paraId="7FFB2741" w14:textId="77777777" w:rsidR="002B5A8A" w:rsidRPr="007C7656" w:rsidRDefault="002B5A8A" w:rsidP="002B5A8A">
                          <w:pPr>
                            <w:spacing w:line="288" w:lineRule="auto"/>
                            <w:rPr>
                              <w:rFonts w:ascii="Arial" w:hAnsi="Arial" w:cs="Arial"/>
                              <w:bCs/>
                              <w:color w:val="323232"/>
                              <w:sz w:val="16"/>
                              <w:szCs w:val="16"/>
                            </w:rPr>
                          </w:pPr>
                          <w:r w:rsidRPr="007C7656">
                            <w:rPr>
                              <w:rFonts w:ascii="Arial" w:hAnsi="Arial" w:cs="Arial"/>
                              <w:bCs/>
                              <w:color w:val="323232"/>
                              <w:sz w:val="16"/>
                              <w:szCs w:val="16"/>
                            </w:rPr>
                            <w:t xml:space="preserve"> </w:t>
                          </w:r>
                        </w:p>
                        <w:p w14:paraId="611DDFBF" w14:textId="3FCD9359" w:rsidR="002B5A8A" w:rsidRPr="00C4440C" w:rsidRDefault="00D352B4" w:rsidP="002B5A8A">
                          <w:pPr>
                            <w:rPr>
                              <w:rFonts w:ascii="Arial" w:hAnsi="Arial" w:cs="Arial"/>
                              <w:sz w:val="14"/>
                              <w:szCs w:val="14"/>
                            </w:rPr>
                          </w:pPr>
                          <w:r w:rsidRPr="00D352B4">
                            <w:rPr>
                              <w:rFonts w:ascii="Arial" w:hAnsi="Arial" w:cs="Arial"/>
                              <w:iCs/>
                              <w:color w:val="323232"/>
                              <w:sz w:val="16"/>
                              <w:szCs w:val="16"/>
                            </w:rPr>
                            <w:t xml:space="preserve">T: </w:t>
                          </w:r>
                          <w:bookmarkStart w:id="5" w:name="Tel"/>
                          <w:bookmarkEnd w:id="5"/>
                          <w:r w:rsidRPr="00D352B4">
                            <w:rPr>
                              <w:rFonts w:ascii="Arial" w:hAnsi="Arial" w:cs="Arial"/>
                              <w:iCs/>
                              <w:color w:val="323232"/>
                              <w:sz w:val="16"/>
                              <w:szCs w:val="16"/>
                            </w:rPr>
                            <w:t xml:space="preserve">+44 (0)117 332 7840 </w:t>
                          </w:r>
                          <w:bookmarkStart w:id="6" w:name="Fax"/>
                          <w:bookmarkEnd w:id="6"/>
                          <w:r w:rsidRPr="00D352B4">
                            <w:rPr>
                              <w:rFonts w:ascii="Arial" w:hAnsi="Arial" w:cs="Arial"/>
                              <w:iCs/>
                              <w:color w:val="323232"/>
                              <w:sz w:val="16"/>
                              <w:szCs w:val="16"/>
                            </w:rPr>
                            <w:t xml:space="preserve">  E: </w:t>
                          </w:r>
                          <w:bookmarkStart w:id="7" w:name="Email"/>
                          <w:bookmarkEnd w:id="7"/>
                          <w:r w:rsidRPr="00D352B4">
                            <w:rPr>
                              <w:rFonts w:ascii="Arial" w:hAnsi="Arial" w:cs="Arial"/>
                              <w:iCs/>
                              <w:color w:val="323232"/>
                              <w:sz w:val="16"/>
                              <w:szCs w:val="16"/>
                            </w:rPr>
                            <w:fldChar w:fldCharType="begin"/>
                          </w:r>
                          <w:r w:rsidRPr="00D352B4">
                            <w:rPr>
                              <w:rFonts w:ascii="Arial" w:hAnsi="Arial" w:cs="Arial"/>
                              <w:iCs/>
                              <w:color w:val="323232"/>
                              <w:sz w:val="16"/>
                              <w:szCs w:val="16"/>
                            </w:rPr>
                            <w:instrText xml:space="preserve"> HYPERLINK "mailto:bristolqueensquare@stantec.com" </w:instrText>
                          </w:r>
                          <w:r w:rsidRPr="00D352B4">
                            <w:rPr>
                              <w:rFonts w:ascii="Arial" w:hAnsi="Arial" w:cs="Arial"/>
                              <w:iCs/>
                              <w:color w:val="323232"/>
                              <w:sz w:val="16"/>
                              <w:szCs w:val="16"/>
                            </w:rPr>
                            <w:fldChar w:fldCharType="separate"/>
                          </w:r>
                          <w:r w:rsidRPr="00D352B4">
                            <w:rPr>
                              <w:rStyle w:val="Hyperlink"/>
                              <w:rFonts w:ascii="Arial" w:hAnsi="Arial" w:cs="Arial"/>
                              <w:iCs/>
                              <w:sz w:val="16"/>
                              <w:szCs w:val="16"/>
                            </w:rPr>
                            <w:t>bristolqueensquare@stantec.com</w:t>
                          </w:r>
                          <w:r w:rsidRPr="00D352B4">
                            <w:rPr>
                              <w:rFonts w:ascii="Arial" w:hAnsi="Arial" w:cs="Arial"/>
                              <w:iCs/>
                              <w:color w:val="323232"/>
                              <w:sz w:val="16"/>
                              <w:szCs w:val="16"/>
                            </w:rPr>
                            <w:fldChar w:fldCharType="end"/>
                          </w:r>
                          <w:r w:rsidR="007C47A8">
                            <w:rPr>
                              <w:rFonts w:ascii="Arial" w:hAnsi="Arial" w:cs="Arial"/>
                              <w:iCs/>
                              <w:color w:val="323232"/>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DF58F1" id="_x0000_t202" coordsize="21600,21600" o:spt="202" path="m,l,21600r21600,l21600,xe">
              <v:stroke joinstyle="miter"/>
              <v:path gradientshapeok="t" o:connecttype="rect"/>
            </v:shapetype>
            <v:shape id="Text Box 1" o:spid="_x0000_s1026" type="#_x0000_t202" style="position:absolute;margin-left:-10.35pt;margin-top:-107.8pt;width:484.5pt;height:13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" stroked="f">
              <v:textbox>
                <w:txbxContent>
                  <w:p w14:paraId="24024A5F" w14:textId="77777777" w:rsidR="002B5A8A" w:rsidRPr="00C4440C" w:rsidRDefault="002B5A8A" w:rsidP="002B5A8A">
                    <w:pPr>
                      <w:tabs>
                        <w:tab w:val="left" w:pos="2340"/>
                        <w:tab w:val="left" w:pos="4500"/>
                        <w:tab w:val="left" w:pos="6300"/>
                      </w:tabs>
                      <w:rPr>
                        <w:rFonts w:ascii="Arial" w:hAnsi="Arial" w:cs="Arial"/>
                        <w:b/>
                        <w:sz w:val="20"/>
                        <w:szCs w:val="20"/>
                      </w:rPr>
                    </w:pPr>
                    <w:r w:rsidRPr="00C4440C">
                      <w:rPr>
                        <w:rFonts w:ascii="Arial" w:hAnsi="Arial" w:cs="Arial"/>
                        <w:b/>
                        <w:sz w:val="20"/>
                        <w:szCs w:val="20"/>
                      </w:rPr>
                      <w:t>DOCUMENT ISSUE RECORD</w:t>
                    </w:r>
                  </w:p>
                  <w:tbl>
                    <w:tblPr>
                      <w:tblW w:w="8460" w:type="dxa"/>
                      <w:tblInd w:w="108" w:type="dxa"/>
                      <w:tblBorders>
                        <w:top w:val="single" w:sz="8" w:space="0" w:color="323232"/>
                        <w:left w:val="single" w:sz="8" w:space="0" w:color="323232"/>
                        <w:bottom w:val="single" w:sz="8" w:space="0" w:color="323232"/>
                        <w:right w:val="single" w:sz="8" w:space="0" w:color="323232"/>
                        <w:insideH w:val="single" w:sz="8" w:space="0" w:color="323232"/>
                        <w:insideV w:val="single" w:sz="8" w:space="0" w:color="323232"/>
                      </w:tblBorders>
                      <w:tblLayout w:type="fixed"/>
                      <w:tblLook w:val="04A0" w:firstRow="1" w:lastRow="0" w:firstColumn="1" w:lastColumn="0" w:noHBand="0" w:noVBand="1"/>
                    </w:tblPr>
                    <w:tblGrid>
                      <w:gridCol w:w="2011"/>
                      <w:gridCol w:w="1172"/>
                      <w:gridCol w:w="1759"/>
                      <w:gridCol w:w="1759"/>
                      <w:gridCol w:w="1759"/>
                    </w:tblGrid>
                    <w:tr w:rsidR="00B661FD" w:rsidRPr="00C4440C" w14:paraId="4DFED250" w14:textId="77777777" w:rsidTr="00B661FD">
                      <w:trPr>
                        <w:trHeight w:val="271"/>
                      </w:trPr>
                      <w:tc>
                        <w:tcPr>
                          <w:tcW w:w="2011" w:type="dxa"/>
                          <w:tcBorders>
                            <w:top w:val="single" w:sz="2" w:space="0" w:color="auto"/>
                            <w:left w:val="single" w:sz="2" w:space="0" w:color="auto"/>
                            <w:bottom w:val="single" w:sz="4" w:space="0" w:color="auto"/>
                            <w:right w:val="single" w:sz="2" w:space="0" w:color="auto"/>
                          </w:tcBorders>
                          <w:shd w:val="clear" w:color="auto" w:fill="auto"/>
                          <w:vAlign w:val="center"/>
                        </w:tcPr>
                        <w:p w14:paraId="06EBE792" w14:textId="77777777" w:rsidR="00B661FD" w:rsidRPr="00A824AA" w:rsidRDefault="00B661FD" w:rsidP="006079CA">
                          <w:pPr>
                            <w:rPr>
                              <w:rFonts w:ascii="Arial" w:hAnsi="Arial" w:cs="Arial"/>
                              <w:sz w:val="16"/>
                              <w:szCs w:val="16"/>
                            </w:rPr>
                          </w:pPr>
                          <w:r w:rsidRPr="00A824AA">
                            <w:rPr>
                              <w:rFonts w:ascii="Arial" w:hAnsi="Arial" w:cs="Arial"/>
                              <w:sz w:val="16"/>
                              <w:szCs w:val="16"/>
                            </w:rPr>
                            <w:t>Technical Note No</w:t>
                          </w:r>
                        </w:p>
                      </w:tc>
                      <w:tc>
                        <w:tcPr>
                          <w:tcW w:w="1172" w:type="dxa"/>
                          <w:tcBorders>
                            <w:top w:val="single" w:sz="2" w:space="0" w:color="auto"/>
                            <w:left w:val="single" w:sz="2" w:space="0" w:color="auto"/>
                            <w:bottom w:val="single" w:sz="4" w:space="0" w:color="auto"/>
                            <w:right w:val="single" w:sz="2" w:space="0" w:color="auto"/>
                          </w:tcBorders>
                          <w:shd w:val="clear" w:color="auto" w:fill="auto"/>
                          <w:vAlign w:val="center"/>
                        </w:tcPr>
                        <w:p w14:paraId="0AFE5608" w14:textId="77777777" w:rsidR="00B661FD" w:rsidRPr="00A824AA" w:rsidRDefault="00B661FD" w:rsidP="006079CA">
                          <w:pPr>
                            <w:jc w:val="center"/>
                            <w:rPr>
                              <w:rFonts w:ascii="Arial" w:hAnsi="Arial" w:cs="Arial"/>
                              <w:sz w:val="16"/>
                              <w:szCs w:val="16"/>
                            </w:rPr>
                          </w:pPr>
                          <w:r w:rsidRPr="00A824AA">
                            <w:rPr>
                              <w:rFonts w:ascii="Arial" w:hAnsi="Arial" w:cs="Arial"/>
                              <w:sz w:val="16"/>
                              <w:szCs w:val="16"/>
                            </w:rPr>
                            <w:t>Date</w:t>
                          </w:r>
                        </w:p>
                      </w:tc>
                      <w:tc>
                        <w:tcPr>
                          <w:tcW w:w="1759" w:type="dxa"/>
                          <w:tcBorders>
                            <w:top w:val="single" w:sz="2" w:space="0" w:color="auto"/>
                            <w:left w:val="single" w:sz="2" w:space="0" w:color="auto"/>
                            <w:bottom w:val="single" w:sz="4" w:space="0" w:color="auto"/>
                            <w:right w:val="single" w:sz="2" w:space="0" w:color="auto"/>
                          </w:tcBorders>
                          <w:shd w:val="clear" w:color="auto" w:fill="auto"/>
                          <w:vAlign w:val="center"/>
                        </w:tcPr>
                        <w:p w14:paraId="5A3737F0" w14:textId="77777777" w:rsidR="00B661FD" w:rsidRPr="00A824AA" w:rsidRDefault="00B661FD" w:rsidP="006079CA">
                          <w:pPr>
                            <w:jc w:val="center"/>
                            <w:rPr>
                              <w:rFonts w:ascii="Arial" w:hAnsi="Arial" w:cs="Arial"/>
                              <w:sz w:val="16"/>
                              <w:szCs w:val="16"/>
                            </w:rPr>
                          </w:pPr>
                          <w:r w:rsidRPr="00A824AA">
                            <w:rPr>
                              <w:rFonts w:ascii="Arial" w:hAnsi="Arial" w:cs="Arial"/>
                              <w:sz w:val="16"/>
                              <w:szCs w:val="16"/>
                            </w:rPr>
                            <w:t>Prepared</w:t>
                          </w:r>
                        </w:p>
                      </w:tc>
                      <w:tc>
                        <w:tcPr>
                          <w:tcW w:w="1759" w:type="dxa"/>
                          <w:tcBorders>
                            <w:top w:val="single" w:sz="2" w:space="0" w:color="auto"/>
                            <w:left w:val="single" w:sz="2" w:space="0" w:color="auto"/>
                            <w:bottom w:val="single" w:sz="4" w:space="0" w:color="auto"/>
                            <w:right w:val="single" w:sz="2" w:space="0" w:color="auto"/>
                          </w:tcBorders>
                          <w:shd w:val="clear" w:color="auto" w:fill="auto"/>
                          <w:vAlign w:val="center"/>
                        </w:tcPr>
                        <w:p w14:paraId="5DE46D48" w14:textId="2E893B30" w:rsidR="00B661FD" w:rsidRPr="00A824AA" w:rsidRDefault="00B661FD" w:rsidP="001C4BA3">
                          <w:pPr>
                            <w:jc w:val="center"/>
                            <w:rPr>
                              <w:rFonts w:ascii="Arial" w:hAnsi="Arial" w:cs="Arial"/>
                              <w:sz w:val="14"/>
                              <w:szCs w:val="14"/>
                            </w:rPr>
                          </w:pPr>
                          <w:r w:rsidRPr="00A824AA">
                            <w:rPr>
                              <w:rFonts w:ascii="Arial" w:hAnsi="Arial" w:cs="Arial"/>
                              <w:sz w:val="16"/>
                              <w:szCs w:val="16"/>
                            </w:rPr>
                            <w:t>Reviewed</w:t>
                          </w:r>
                        </w:p>
                      </w:tc>
                      <w:tc>
                        <w:tcPr>
                          <w:tcW w:w="1759" w:type="dxa"/>
                          <w:tcBorders>
                            <w:top w:val="single" w:sz="2" w:space="0" w:color="auto"/>
                            <w:left w:val="single" w:sz="2" w:space="0" w:color="auto"/>
                            <w:bottom w:val="single" w:sz="4" w:space="0" w:color="auto"/>
                            <w:right w:val="single" w:sz="2" w:space="0" w:color="auto"/>
                          </w:tcBorders>
                          <w:shd w:val="clear" w:color="auto" w:fill="auto"/>
                          <w:vAlign w:val="center"/>
                        </w:tcPr>
                        <w:p w14:paraId="1F414670" w14:textId="77777777" w:rsidR="00B661FD" w:rsidRPr="00A824AA" w:rsidRDefault="00B661FD" w:rsidP="006079CA">
                          <w:pPr>
                            <w:jc w:val="center"/>
                            <w:rPr>
                              <w:rFonts w:ascii="Arial" w:hAnsi="Arial" w:cs="Arial"/>
                              <w:sz w:val="16"/>
                              <w:szCs w:val="16"/>
                            </w:rPr>
                          </w:pPr>
                          <w:r w:rsidRPr="00A824AA">
                            <w:rPr>
                              <w:rFonts w:ascii="Arial" w:hAnsi="Arial" w:cs="Arial"/>
                              <w:sz w:val="16"/>
                              <w:szCs w:val="16"/>
                            </w:rPr>
                            <w:t>Approved</w:t>
                          </w:r>
                        </w:p>
                        <w:p w14:paraId="26380404" w14:textId="77777777" w:rsidR="00B661FD" w:rsidRPr="00A824AA" w:rsidRDefault="00B661FD" w:rsidP="006079CA">
                          <w:pPr>
                            <w:jc w:val="center"/>
                            <w:rPr>
                              <w:rFonts w:ascii="Arial" w:hAnsi="Arial" w:cs="Arial"/>
                              <w:sz w:val="14"/>
                              <w:szCs w:val="14"/>
                            </w:rPr>
                          </w:pPr>
                          <w:r w:rsidRPr="00A824AA">
                            <w:rPr>
                              <w:rFonts w:ascii="Arial" w:hAnsi="Arial" w:cs="Arial"/>
                              <w:sz w:val="14"/>
                              <w:szCs w:val="14"/>
                            </w:rPr>
                            <w:t>(Project Director)</w:t>
                          </w:r>
                        </w:p>
                      </w:tc>
                    </w:tr>
                    <w:tr w:rsidR="00B661FD" w:rsidRPr="00C4440C" w14:paraId="78942916" w14:textId="77777777" w:rsidTr="00B661FD">
                      <w:trPr>
                        <w:trHeight w:val="180"/>
                      </w:trPr>
                      <w:tc>
                        <w:tcPr>
                          <w:tcW w:w="2011" w:type="dxa"/>
                          <w:tcBorders>
                            <w:top w:val="single" w:sz="4" w:space="0" w:color="auto"/>
                            <w:left w:val="single" w:sz="4" w:space="0" w:color="auto"/>
                            <w:bottom w:val="single" w:sz="4" w:space="0" w:color="auto"/>
                            <w:right w:val="single" w:sz="4" w:space="0" w:color="auto"/>
                          </w:tcBorders>
                          <w:shd w:val="clear" w:color="auto" w:fill="auto"/>
                          <w:vAlign w:val="center"/>
                        </w:tcPr>
                        <w:p w14:paraId="43D71E21" w14:textId="45C2BA4F" w:rsidR="00B661FD" w:rsidRPr="00C4440C" w:rsidRDefault="006B4402" w:rsidP="006079CA">
                          <w:pPr>
                            <w:rPr>
                              <w:rFonts w:ascii="Arial" w:hAnsi="Arial" w:cs="Arial"/>
                              <w:sz w:val="16"/>
                              <w:szCs w:val="16"/>
                            </w:rPr>
                          </w:pPr>
                          <w:r w:rsidRPr="006B4402">
                            <w:rPr>
                              <w:rFonts w:ascii="Arial" w:hAnsi="Arial" w:cs="Arial"/>
                              <w:sz w:val="16"/>
                              <w:szCs w:val="16"/>
                            </w:rPr>
                            <w:t>33</w:t>
                          </w:r>
                          <w:r w:rsidR="0097017D">
                            <w:rPr>
                              <w:rFonts w:ascii="Arial" w:hAnsi="Arial" w:cs="Arial"/>
                              <w:sz w:val="16"/>
                              <w:szCs w:val="16"/>
                            </w:rPr>
                            <w:t>2</w:t>
                          </w:r>
                          <w:r w:rsidRPr="006B4402">
                            <w:rPr>
                              <w:rFonts w:ascii="Arial" w:hAnsi="Arial" w:cs="Arial"/>
                              <w:sz w:val="16"/>
                              <w:szCs w:val="16"/>
                            </w:rPr>
                            <w:t>5</w:t>
                          </w:r>
                          <w:r w:rsidR="0097017D">
                            <w:rPr>
                              <w:rFonts w:ascii="Arial" w:hAnsi="Arial" w:cs="Arial"/>
                              <w:sz w:val="16"/>
                              <w:szCs w:val="16"/>
                            </w:rPr>
                            <w:t>11069</w:t>
                          </w:r>
                          <w:r w:rsidR="00B661FD" w:rsidRPr="007F5F59">
                            <w:rPr>
                              <w:rFonts w:ascii="Arial" w:hAnsi="Arial" w:cs="Arial"/>
                              <w:sz w:val="16"/>
                              <w:szCs w:val="16"/>
                            </w:rPr>
                            <w:t>/</w:t>
                          </w:r>
                          <w:r w:rsidR="00B661FD">
                            <w:rPr>
                              <w:rFonts w:ascii="Arial" w:hAnsi="Arial" w:cs="Arial"/>
                              <w:sz w:val="16"/>
                              <w:szCs w:val="16"/>
                            </w:rPr>
                            <w:t>AQ</w:t>
                          </w:r>
                          <w:r w:rsidR="00B661FD" w:rsidRPr="007F5F59">
                            <w:rPr>
                              <w:rFonts w:ascii="Arial" w:hAnsi="Arial" w:cs="Arial"/>
                              <w:sz w:val="16"/>
                              <w:szCs w:val="16"/>
                            </w:rPr>
                            <w:t>/</w:t>
                          </w:r>
                          <w:r w:rsidR="00B661FD">
                            <w:rPr>
                              <w:rFonts w:ascii="Arial" w:hAnsi="Arial" w:cs="Arial"/>
                              <w:sz w:val="16"/>
                              <w:szCs w:val="16"/>
                            </w:rPr>
                            <w:t>0</w:t>
                          </w:r>
                          <w:r w:rsidR="00BE1518">
                            <w:rPr>
                              <w:rFonts w:ascii="Arial" w:hAnsi="Arial" w:cs="Arial"/>
                              <w:sz w:val="16"/>
                              <w:szCs w:val="16"/>
                            </w:rPr>
                            <w:t>01</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0C339F4B" w14:textId="57DD334E" w:rsidR="00B661FD" w:rsidRPr="00C4440C" w:rsidRDefault="0097017D" w:rsidP="006079CA">
                          <w:pPr>
                            <w:pStyle w:val="DocIssueRecord"/>
                            <w:rPr>
                              <w:rFonts w:cs="Arial"/>
                            </w:rPr>
                          </w:pPr>
                          <w:r>
                            <w:rPr>
                              <w:rFonts w:cs="Arial"/>
                            </w:rPr>
                            <w:t>28</w:t>
                          </w:r>
                          <w:r w:rsidR="00CE5501">
                            <w:rPr>
                              <w:rFonts w:cs="Arial"/>
                            </w:rPr>
                            <w:t>/04/2022</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3372C09C" w14:textId="6C680C2C" w:rsidR="00B661FD" w:rsidRPr="00C4440C" w:rsidRDefault="00CE5501" w:rsidP="006079CA">
                          <w:pPr>
                            <w:jc w:val="center"/>
                            <w:rPr>
                              <w:rFonts w:ascii="Arial" w:hAnsi="Arial" w:cs="Arial"/>
                              <w:sz w:val="16"/>
                              <w:szCs w:val="16"/>
                            </w:rPr>
                          </w:pPr>
                          <w:r>
                            <w:rPr>
                              <w:rFonts w:ascii="Arial" w:hAnsi="Arial" w:cs="Arial"/>
                              <w:sz w:val="16"/>
                              <w:szCs w:val="16"/>
                            </w:rPr>
                            <w:t>CB</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5453FBA2" w14:textId="6E0AA08D" w:rsidR="00B661FD" w:rsidRPr="00C4440C" w:rsidRDefault="004C2B8E" w:rsidP="006079CA">
                          <w:pPr>
                            <w:jc w:val="center"/>
                            <w:rPr>
                              <w:rFonts w:ascii="Arial" w:hAnsi="Arial" w:cs="Arial"/>
                              <w:sz w:val="16"/>
                              <w:szCs w:val="16"/>
                            </w:rPr>
                          </w:pPr>
                          <w:r w:rsidRPr="00BF7E5C">
                            <w:rPr>
                              <w:rFonts w:ascii="Arial" w:hAnsi="Arial" w:cs="Arial"/>
                              <w:sz w:val="16"/>
                              <w:szCs w:val="16"/>
                            </w:rPr>
                            <w:t>KH</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34E96353" w14:textId="3BD9676C" w:rsidR="00B661FD" w:rsidRPr="00C4440C" w:rsidRDefault="00BE1518" w:rsidP="006079CA">
                          <w:pPr>
                            <w:jc w:val="center"/>
                            <w:rPr>
                              <w:rFonts w:ascii="Arial" w:hAnsi="Arial" w:cs="Arial"/>
                              <w:sz w:val="16"/>
                              <w:szCs w:val="16"/>
                            </w:rPr>
                          </w:pPr>
                          <w:r>
                            <w:rPr>
                              <w:rFonts w:ascii="Arial" w:hAnsi="Arial" w:cs="Arial"/>
                              <w:sz w:val="16"/>
                              <w:szCs w:val="16"/>
                            </w:rPr>
                            <w:t>PT</w:t>
                          </w:r>
                        </w:p>
                      </w:tc>
                    </w:tr>
                  </w:tbl>
                  <w:p w14:paraId="66F92B33" w14:textId="77777777" w:rsidR="002B5A8A" w:rsidRPr="00C4440C" w:rsidRDefault="002B5A8A" w:rsidP="002B5A8A">
                    <w:pPr>
                      <w:tabs>
                        <w:tab w:val="left" w:pos="2340"/>
                        <w:tab w:val="left" w:pos="4500"/>
                        <w:tab w:val="left" w:pos="6300"/>
                      </w:tabs>
                      <w:rPr>
                        <w:rFonts w:ascii="Arial" w:hAnsi="Arial" w:cs="Arial"/>
                        <w:sz w:val="14"/>
                        <w:szCs w:val="14"/>
                      </w:rPr>
                    </w:pPr>
                    <w:r w:rsidRPr="008C1C7C">
                      <w:rPr>
                        <w:rFonts w:ascii="Arial" w:hAnsi="Arial" w:cs="Arial"/>
                        <w:sz w:val="14"/>
                        <w:szCs w:val="14"/>
                      </w:rPr>
                      <w:t xml:space="preserve">This report has been prepared by Stantec UK Limited (‘Stantec’) on behalf of its client to whom this report is addressed (‘Client’) in connection with the project described in this report and </w:t>
                    </w:r>
                    <w:proofErr w:type="gramStart"/>
                    <w:r w:rsidRPr="008C1C7C">
                      <w:rPr>
                        <w:rFonts w:ascii="Arial" w:hAnsi="Arial" w:cs="Arial"/>
                        <w:sz w:val="14"/>
                        <w:szCs w:val="14"/>
                      </w:rPr>
                      <w:t>takes into account</w:t>
                    </w:r>
                    <w:proofErr w:type="gramEnd"/>
                    <w:r w:rsidRPr="008C1C7C">
                      <w:rPr>
                        <w:rFonts w:ascii="Arial" w:hAnsi="Arial" w:cs="Arial"/>
                        <w:sz w:val="14"/>
                        <w:szCs w:val="14"/>
                      </w:rPr>
                      <w:t xml:space="preserve"> the Client's particular instructions and requirements. This report was prepared in accordance with the professional services appointment under which Stantec was appointed by its </w:t>
                    </w:r>
                    <w:proofErr w:type="gramStart"/>
                    <w:r w:rsidRPr="008C1C7C">
                      <w:rPr>
                        <w:rFonts w:ascii="Arial" w:hAnsi="Arial" w:cs="Arial"/>
                        <w:sz w:val="14"/>
                        <w:szCs w:val="14"/>
                      </w:rPr>
                      <w:t>Client</w:t>
                    </w:r>
                    <w:proofErr w:type="gramEnd"/>
                    <w:r w:rsidRPr="008C1C7C">
                      <w:rPr>
                        <w:rFonts w:ascii="Arial" w:hAnsi="Arial" w:cs="Arial"/>
                        <w:sz w:val="14"/>
                        <w:szCs w:val="14"/>
                      </w:rPr>
                      <w:t>. This report is not intended for and should not be relied on by any third party (</w:t>
                    </w:r>
                    <w:proofErr w:type="gramStart"/>
                    <w:r w:rsidRPr="008C1C7C">
                      <w:rPr>
                        <w:rFonts w:ascii="Arial" w:hAnsi="Arial" w:cs="Arial"/>
                        <w:sz w:val="14"/>
                        <w:szCs w:val="14"/>
                      </w:rPr>
                      <w:t>i.e.</w:t>
                    </w:r>
                    <w:proofErr w:type="gramEnd"/>
                    <w:r w:rsidRPr="008C1C7C">
                      <w:rPr>
                        <w:rFonts w:ascii="Arial" w:hAnsi="Arial" w:cs="Arial"/>
                        <w:sz w:val="14"/>
                        <w:szCs w:val="14"/>
                      </w:rPr>
                      <w:t xml:space="preserve"> parties other than the Client). Stantec accepts no duty or responsibility (including in negligence) to any party other than the Client and disclaims all liability of any nature whatsoever to any such party in respect of this report.</w:t>
                    </w:r>
                    <w:r w:rsidRPr="00C4440C">
                      <w:rPr>
                        <w:rFonts w:ascii="Arial" w:hAnsi="Arial" w:cs="Arial"/>
                        <w:sz w:val="14"/>
                        <w:szCs w:val="14"/>
                      </w:rPr>
                      <w:t xml:space="preserve"> </w:t>
                    </w:r>
                  </w:p>
                  <w:p w14:paraId="7FFB2741" w14:textId="77777777" w:rsidR="002B5A8A" w:rsidRPr="007C7656" w:rsidRDefault="002B5A8A" w:rsidP="002B5A8A">
                    <w:pPr>
                      <w:spacing w:line="288" w:lineRule="auto"/>
                      <w:rPr>
                        <w:rFonts w:ascii="Arial" w:hAnsi="Arial" w:cs="Arial"/>
                        <w:bCs/>
                        <w:color w:val="323232"/>
                        <w:sz w:val="16"/>
                        <w:szCs w:val="16"/>
                      </w:rPr>
                    </w:pPr>
                    <w:r w:rsidRPr="007C7656">
                      <w:rPr>
                        <w:rFonts w:ascii="Arial" w:hAnsi="Arial" w:cs="Arial"/>
                        <w:bCs/>
                        <w:color w:val="323232"/>
                        <w:sz w:val="16"/>
                        <w:szCs w:val="16"/>
                      </w:rPr>
                      <w:t xml:space="preserve"> </w:t>
                    </w:r>
                  </w:p>
                  <w:p w14:paraId="611DDFBF" w14:textId="3FCD9359" w:rsidR="002B5A8A" w:rsidRPr="00C4440C" w:rsidRDefault="00D352B4" w:rsidP="002B5A8A">
                    <w:pPr>
                      <w:rPr>
                        <w:rFonts w:ascii="Arial" w:hAnsi="Arial" w:cs="Arial"/>
                        <w:sz w:val="14"/>
                        <w:szCs w:val="14"/>
                      </w:rPr>
                    </w:pPr>
                    <w:r w:rsidRPr="00D352B4">
                      <w:rPr>
                        <w:rFonts w:ascii="Arial" w:hAnsi="Arial" w:cs="Arial"/>
                        <w:iCs/>
                        <w:color w:val="323232"/>
                        <w:sz w:val="16"/>
                        <w:szCs w:val="16"/>
                      </w:rPr>
                      <w:t xml:space="preserve">T: </w:t>
                    </w:r>
                    <w:bookmarkStart w:id="8" w:name="Tel"/>
                    <w:bookmarkEnd w:id="8"/>
                    <w:r w:rsidRPr="00D352B4">
                      <w:rPr>
                        <w:rFonts w:ascii="Arial" w:hAnsi="Arial" w:cs="Arial"/>
                        <w:iCs/>
                        <w:color w:val="323232"/>
                        <w:sz w:val="16"/>
                        <w:szCs w:val="16"/>
                      </w:rPr>
                      <w:t xml:space="preserve">+44 (0)117 332 7840 </w:t>
                    </w:r>
                    <w:bookmarkStart w:id="9" w:name="Fax"/>
                    <w:bookmarkEnd w:id="9"/>
                    <w:r w:rsidRPr="00D352B4">
                      <w:rPr>
                        <w:rFonts w:ascii="Arial" w:hAnsi="Arial" w:cs="Arial"/>
                        <w:iCs/>
                        <w:color w:val="323232"/>
                        <w:sz w:val="16"/>
                        <w:szCs w:val="16"/>
                      </w:rPr>
                      <w:t xml:space="preserve">  E: </w:t>
                    </w:r>
                    <w:bookmarkStart w:id="10" w:name="Email"/>
                    <w:bookmarkEnd w:id="10"/>
                    <w:r w:rsidRPr="00D352B4">
                      <w:rPr>
                        <w:rFonts w:ascii="Arial" w:hAnsi="Arial" w:cs="Arial"/>
                        <w:iCs/>
                        <w:color w:val="323232"/>
                        <w:sz w:val="16"/>
                        <w:szCs w:val="16"/>
                      </w:rPr>
                      <w:fldChar w:fldCharType="begin"/>
                    </w:r>
                    <w:r w:rsidRPr="00D352B4">
                      <w:rPr>
                        <w:rFonts w:ascii="Arial" w:hAnsi="Arial" w:cs="Arial"/>
                        <w:iCs/>
                        <w:color w:val="323232"/>
                        <w:sz w:val="16"/>
                        <w:szCs w:val="16"/>
                      </w:rPr>
                      <w:instrText xml:space="preserve"> HYPERLINK "mailto:bristolqueensquare@stantec.com" </w:instrText>
                    </w:r>
                    <w:r w:rsidRPr="00D352B4">
                      <w:rPr>
                        <w:rFonts w:ascii="Arial" w:hAnsi="Arial" w:cs="Arial"/>
                        <w:iCs/>
                        <w:color w:val="323232"/>
                        <w:sz w:val="16"/>
                        <w:szCs w:val="16"/>
                      </w:rPr>
                      <w:fldChar w:fldCharType="separate"/>
                    </w:r>
                    <w:r w:rsidRPr="00D352B4">
                      <w:rPr>
                        <w:rStyle w:val="Hyperlink"/>
                        <w:rFonts w:ascii="Arial" w:hAnsi="Arial" w:cs="Arial"/>
                        <w:iCs/>
                        <w:sz w:val="16"/>
                        <w:szCs w:val="16"/>
                      </w:rPr>
                      <w:t>bristolqueensquare@stantec.com</w:t>
                    </w:r>
                    <w:r w:rsidRPr="00D352B4">
                      <w:rPr>
                        <w:rFonts w:ascii="Arial" w:hAnsi="Arial" w:cs="Arial"/>
                        <w:iCs/>
                        <w:color w:val="323232"/>
                        <w:sz w:val="16"/>
                        <w:szCs w:val="16"/>
                      </w:rPr>
                      <w:fldChar w:fldCharType="end"/>
                    </w:r>
                    <w:r w:rsidR="007C47A8">
                      <w:rPr>
                        <w:rFonts w:ascii="Arial" w:hAnsi="Arial" w:cs="Arial"/>
                        <w:iCs/>
                        <w:color w:val="323232"/>
                        <w:sz w:val="16"/>
                        <w:szCs w:val="16"/>
                      </w:rPr>
                      <w:t xml:space="preserve"> </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35E98" w14:textId="77777777" w:rsidR="00341BC2" w:rsidRDefault="00341BC2">
      <w:r>
        <w:separator/>
      </w:r>
    </w:p>
  </w:footnote>
  <w:footnote w:type="continuationSeparator" w:id="0">
    <w:p w14:paraId="21374320" w14:textId="77777777" w:rsidR="00341BC2" w:rsidRDefault="00341BC2">
      <w:r>
        <w:continuationSeparator/>
      </w:r>
    </w:p>
  </w:footnote>
  <w:footnote w:id="1">
    <w:p w14:paraId="1CD2CCCC" w14:textId="39BBA028" w:rsidR="00EF73C4" w:rsidRPr="00BF7E5C" w:rsidRDefault="00EF73C4">
      <w:pPr>
        <w:pStyle w:val="FootnoteText"/>
        <w:rPr>
          <w:rFonts w:ascii="Arial" w:hAnsi="Arial" w:cs="Arial"/>
          <w:sz w:val="18"/>
          <w:szCs w:val="18"/>
        </w:rPr>
      </w:pPr>
      <w:r w:rsidRPr="00BF7E5C">
        <w:rPr>
          <w:rStyle w:val="FootnoteReference"/>
          <w:rFonts w:ascii="Arial" w:hAnsi="Arial" w:cs="Arial"/>
          <w:sz w:val="18"/>
          <w:szCs w:val="18"/>
        </w:rPr>
        <w:footnoteRef/>
      </w:r>
      <w:r w:rsidRPr="00BF7E5C">
        <w:rPr>
          <w:rFonts w:ascii="Arial" w:hAnsi="Arial" w:cs="Arial"/>
          <w:sz w:val="18"/>
          <w:szCs w:val="18"/>
        </w:rPr>
        <w:t xml:space="preserve"> </w:t>
      </w:r>
      <w:hyperlink r:id="rId1" w:history="1">
        <w:r w:rsidRPr="00BF7E5C">
          <w:rPr>
            <w:rStyle w:val="Hyperlink"/>
            <w:rFonts w:ascii="Arial" w:hAnsi="Arial" w:cs="Arial"/>
            <w:sz w:val="18"/>
            <w:szCs w:val="18"/>
          </w:rPr>
          <w:t>London Borough of Hillingdon - Planning</w:t>
        </w:r>
      </w:hyperlink>
    </w:p>
  </w:footnote>
  <w:footnote w:id="2">
    <w:p w14:paraId="5625B947" w14:textId="3A64D57D" w:rsidR="004C50F3" w:rsidRPr="00BF7E5C" w:rsidRDefault="004C50F3" w:rsidP="004C50F3">
      <w:pPr>
        <w:pStyle w:val="FootnoteText"/>
        <w:rPr>
          <w:rFonts w:ascii="Arial" w:hAnsi="Arial" w:cs="Arial"/>
          <w:sz w:val="18"/>
          <w:szCs w:val="18"/>
        </w:rPr>
      </w:pPr>
      <w:r w:rsidRPr="00BF7E5C">
        <w:rPr>
          <w:rStyle w:val="FootnoteReference"/>
          <w:rFonts w:ascii="Arial" w:hAnsi="Arial" w:cs="Arial"/>
          <w:sz w:val="18"/>
          <w:szCs w:val="18"/>
        </w:rPr>
        <w:footnoteRef/>
      </w:r>
      <w:r w:rsidRPr="00BF7E5C">
        <w:rPr>
          <w:rFonts w:ascii="Arial" w:hAnsi="Arial" w:cs="Arial"/>
          <w:sz w:val="18"/>
          <w:szCs w:val="18"/>
        </w:rPr>
        <w:t xml:space="preserve"> London Borough of Hillingdon (2020). London Borough of Hillingdon Air Quality Annual Status Report, 2019</w:t>
      </w:r>
    </w:p>
  </w:footnote>
  <w:footnote w:id="3">
    <w:p w14:paraId="66A9E95B" w14:textId="282CD04E" w:rsidR="007E0E30" w:rsidRPr="00BF7E5C" w:rsidRDefault="007E0E30">
      <w:pPr>
        <w:pStyle w:val="FootnoteText"/>
        <w:rPr>
          <w:rFonts w:ascii="Arial" w:hAnsi="Arial" w:cs="Arial"/>
          <w:sz w:val="18"/>
          <w:szCs w:val="18"/>
        </w:rPr>
      </w:pPr>
      <w:r w:rsidRPr="00BF7E5C">
        <w:rPr>
          <w:rStyle w:val="FootnoteReference"/>
          <w:rFonts w:ascii="Arial" w:hAnsi="Arial" w:cs="Arial"/>
          <w:sz w:val="18"/>
          <w:szCs w:val="18"/>
        </w:rPr>
        <w:footnoteRef/>
      </w:r>
      <w:r w:rsidRPr="00BF7E5C">
        <w:rPr>
          <w:rFonts w:ascii="Arial" w:hAnsi="Arial" w:cs="Arial"/>
          <w:sz w:val="18"/>
          <w:szCs w:val="18"/>
        </w:rPr>
        <w:t xml:space="preserve"> Moorcroft and </w:t>
      </w:r>
      <w:proofErr w:type="spellStart"/>
      <w:r w:rsidRPr="00BF7E5C">
        <w:rPr>
          <w:rFonts w:ascii="Arial" w:hAnsi="Arial" w:cs="Arial"/>
          <w:sz w:val="18"/>
          <w:szCs w:val="18"/>
        </w:rPr>
        <w:t>Barrowcliffe</w:t>
      </w:r>
      <w:proofErr w:type="spellEnd"/>
      <w:r w:rsidRPr="00BF7E5C">
        <w:rPr>
          <w:rFonts w:ascii="Arial" w:hAnsi="Arial" w:cs="Arial"/>
          <w:sz w:val="18"/>
          <w:szCs w:val="18"/>
        </w:rPr>
        <w:t xml:space="preserve"> et al (2017). ‘Land-use Planning &amp; Development Control: Planning for Air Quality’. V1.2. The Institute for Air Quality Management, London</w:t>
      </w:r>
    </w:p>
  </w:footnote>
  <w:footnote w:id="4">
    <w:p w14:paraId="54B61ACC" w14:textId="57E3DB4B" w:rsidR="0061753B" w:rsidRPr="00BF7E5C" w:rsidRDefault="0061753B">
      <w:pPr>
        <w:pStyle w:val="FootnoteText"/>
        <w:rPr>
          <w:rFonts w:ascii="Arial" w:hAnsi="Arial" w:cs="Arial"/>
          <w:sz w:val="18"/>
          <w:szCs w:val="18"/>
        </w:rPr>
      </w:pPr>
      <w:r w:rsidRPr="00BF7E5C">
        <w:rPr>
          <w:rStyle w:val="FootnoteReference"/>
          <w:rFonts w:ascii="Arial" w:hAnsi="Arial" w:cs="Arial"/>
          <w:sz w:val="18"/>
          <w:szCs w:val="18"/>
        </w:rPr>
        <w:footnoteRef/>
      </w:r>
      <w:r w:rsidRPr="00BF7E5C">
        <w:rPr>
          <w:rFonts w:ascii="Arial" w:hAnsi="Arial" w:cs="Arial"/>
          <w:sz w:val="18"/>
          <w:szCs w:val="18"/>
        </w:rPr>
        <w:t xml:space="preserve"> </w:t>
      </w:r>
      <w:r w:rsidR="00BF7E5C" w:rsidRPr="00BF7E5C">
        <w:rPr>
          <w:rFonts w:ascii="Arial" w:hAnsi="Arial" w:cs="Arial"/>
          <w:sz w:val="18"/>
          <w:szCs w:val="18"/>
        </w:rPr>
        <w:t>Greater London Authority (2021) London Plan Guidance Air Quality Neutral. Consultation Draft November 2021</w:t>
      </w:r>
    </w:p>
  </w:footnote>
  <w:footnote w:id="5">
    <w:p w14:paraId="7454137B" w14:textId="1FC271EC" w:rsidR="00163284" w:rsidRDefault="00163284">
      <w:pPr>
        <w:pStyle w:val="FootnoteText"/>
      </w:pPr>
      <w:r>
        <w:rPr>
          <w:rStyle w:val="FootnoteReference"/>
        </w:rPr>
        <w:footnoteRef/>
      </w:r>
      <w:r>
        <w:t xml:space="preserve"> Included in assessment as a worst case.  No additional </w:t>
      </w:r>
      <w:r w:rsidRPr="00163284">
        <w:t xml:space="preserve">residential car parking </w:t>
      </w:r>
      <w:r>
        <w:t xml:space="preserve">is being provided </w:t>
      </w:r>
      <w:r w:rsidRPr="00163284">
        <w:t>to support the uplift in unit</w:t>
      </w:r>
      <w:r>
        <w:t xml:space="preserve"> number</w:t>
      </w:r>
      <w:r w:rsidRPr="00163284">
        <w:t xml:space="preserve">s and the surrounding area is covered by </w:t>
      </w:r>
      <w:r w:rsidRPr="00163284">
        <w:t>resident</w:t>
      </w:r>
      <w:r>
        <w:t>ial</w:t>
      </w:r>
      <w:r w:rsidRPr="00163284">
        <w:t xml:space="preserve"> parking control</w:t>
      </w:r>
      <w:r>
        <w:t xml:space="preserve">s. </w:t>
      </w:r>
      <w:r w:rsidRPr="00163284">
        <w:t>It’s therefore unlikely that they would generate additional vehicle trips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CA8F" w14:textId="22086CD5" w:rsidR="003A0E38" w:rsidRPr="00533CB6" w:rsidRDefault="003A0E38" w:rsidP="006B24BD">
    <w:pPr>
      <w:pStyle w:val="Header"/>
      <w:rPr>
        <w:rFonts w:ascii="Arial" w:hAnsi="Arial" w:cs="Arial"/>
      </w:rPr>
    </w:pPr>
    <w:r w:rsidRPr="00533CB6">
      <w:rPr>
        <w:rFonts w:ascii="Arial" w:hAnsi="Arial" w:cs="Arial"/>
        <w:noProof/>
        <w:lang w:eastAsia="en-GB"/>
      </w:rPr>
      <w:drawing>
        <wp:anchor distT="0" distB="0" distL="114300" distR="114300" simplePos="0" relativeHeight="251658240" behindDoc="0" locked="0" layoutInCell="1" allowOverlap="1" wp14:anchorId="63D216E6" wp14:editId="01B5D269">
          <wp:simplePos x="0" y="0"/>
          <wp:positionH relativeFrom="margin">
            <wp:align>right</wp:align>
          </wp:positionH>
          <wp:positionV relativeFrom="paragraph">
            <wp:posOffset>8725</wp:posOffset>
          </wp:positionV>
          <wp:extent cx="1990725" cy="528308"/>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BA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90725" cy="528308"/>
                  </a:xfrm>
                  <a:prstGeom prst="rect">
                    <a:avLst/>
                  </a:prstGeom>
                  <a:noFill/>
                </pic:spPr>
              </pic:pic>
            </a:graphicData>
          </a:graphic>
          <wp14:sizeRelH relativeFrom="page">
            <wp14:pctWidth>0</wp14:pctWidth>
          </wp14:sizeRelH>
          <wp14:sizeRelV relativeFrom="page">
            <wp14:pctHeight>0</wp14:pctHeight>
          </wp14:sizeRelV>
        </wp:anchor>
      </w:drawing>
    </w:r>
  </w:p>
  <w:p w14:paraId="51D9AD9C" w14:textId="77777777" w:rsidR="003A0E38" w:rsidRPr="00533CB6" w:rsidRDefault="003A0E38" w:rsidP="006B24BD">
    <w:pPr>
      <w:pStyle w:val="Header"/>
      <w:rPr>
        <w:rFonts w:ascii="Arial" w:hAnsi="Arial" w:cs="Arial"/>
      </w:rPr>
    </w:pPr>
  </w:p>
  <w:p w14:paraId="26E61576" w14:textId="267B0D4D" w:rsidR="003A0E38" w:rsidRDefault="003A0E38" w:rsidP="006B24BD">
    <w:pPr>
      <w:pStyle w:val="Header"/>
      <w:rPr>
        <w:rFonts w:ascii="Arial" w:hAnsi="Arial" w:cs="Arial"/>
        <w:b/>
        <w:sz w:val="32"/>
        <w:szCs w:val="32"/>
      </w:rPr>
    </w:pPr>
    <w:r w:rsidRPr="00A824AA">
      <w:rPr>
        <w:rFonts w:ascii="Arial" w:hAnsi="Arial" w:cs="Arial"/>
        <w:b/>
        <w:sz w:val="32"/>
        <w:szCs w:val="32"/>
      </w:rPr>
      <w:t>TECHNICAL NOTE</w:t>
    </w:r>
  </w:p>
  <w:p w14:paraId="59BA0DD3" w14:textId="77777777" w:rsidR="003A0E38" w:rsidRPr="00A824AA" w:rsidRDefault="003A0E38" w:rsidP="006B24BD">
    <w:pPr>
      <w:pStyle w:val="Header"/>
      <w:rPr>
        <w:rFonts w:ascii="Arial" w:hAnsi="Arial" w:cs="Arial"/>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3C784" w14:textId="77777777" w:rsidR="002B5A8A" w:rsidRPr="00533CB6" w:rsidRDefault="002B5A8A" w:rsidP="002B5A8A">
    <w:pPr>
      <w:pStyle w:val="Header"/>
      <w:rPr>
        <w:rFonts w:ascii="Arial" w:hAnsi="Arial" w:cs="Arial"/>
      </w:rPr>
    </w:pPr>
    <w:r w:rsidRPr="00533CB6">
      <w:rPr>
        <w:rFonts w:ascii="Arial" w:hAnsi="Arial" w:cs="Arial"/>
        <w:noProof/>
        <w:lang w:eastAsia="en-GB"/>
      </w:rPr>
      <w:drawing>
        <wp:anchor distT="0" distB="0" distL="114300" distR="114300" simplePos="0" relativeHeight="251662336" behindDoc="0" locked="0" layoutInCell="1" allowOverlap="1" wp14:anchorId="7EE8D639" wp14:editId="456F39EC">
          <wp:simplePos x="0" y="0"/>
          <wp:positionH relativeFrom="margin">
            <wp:align>right</wp:align>
          </wp:positionH>
          <wp:positionV relativeFrom="paragraph">
            <wp:posOffset>8725</wp:posOffset>
          </wp:positionV>
          <wp:extent cx="1990725" cy="528308"/>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BA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90725" cy="528308"/>
                  </a:xfrm>
                  <a:prstGeom prst="rect">
                    <a:avLst/>
                  </a:prstGeom>
                  <a:noFill/>
                </pic:spPr>
              </pic:pic>
            </a:graphicData>
          </a:graphic>
          <wp14:sizeRelH relativeFrom="page">
            <wp14:pctWidth>0</wp14:pctWidth>
          </wp14:sizeRelH>
          <wp14:sizeRelV relativeFrom="page">
            <wp14:pctHeight>0</wp14:pctHeight>
          </wp14:sizeRelV>
        </wp:anchor>
      </w:drawing>
    </w:r>
  </w:p>
  <w:p w14:paraId="3DD9C5C1" w14:textId="77777777" w:rsidR="002B5A8A" w:rsidRPr="00533CB6" w:rsidRDefault="002B5A8A" w:rsidP="002B5A8A">
    <w:pPr>
      <w:pStyle w:val="Header"/>
      <w:rPr>
        <w:rFonts w:ascii="Arial" w:hAnsi="Arial" w:cs="Arial"/>
      </w:rPr>
    </w:pPr>
  </w:p>
  <w:p w14:paraId="66845CCB" w14:textId="77777777" w:rsidR="002B5A8A" w:rsidRDefault="002B5A8A" w:rsidP="002B5A8A">
    <w:pPr>
      <w:pStyle w:val="Header"/>
      <w:rPr>
        <w:rFonts w:ascii="Arial" w:hAnsi="Arial" w:cs="Arial"/>
        <w:b/>
        <w:sz w:val="32"/>
        <w:szCs w:val="32"/>
      </w:rPr>
    </w:pPr>
    <w:r w:rsidRPr="00A824AA">
      <w:rPr>
        <w:rFonts w:ascii="Arial" w:hAnsi="Arial" w:cs="Arial"/>
        <w:b/>
        <w:sz w:val="32"/>
        <w:szCs w:val="32"/>
      </w:rPr>
      <w:t>TECHNICAL NOTE</w:t>
    </w:r>
  </w:p>
  <w:p w14:paraId="0490A4AA" w14:textId="77777777" w:rsidR="002B5A8A" w:rsidRDefault="002B5A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2AB0"/>
    <w:multiLevelType w:val="multilevel"/>
    <w:tmpl w:val="5CD015A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8649C1"/>
    <w:multiLevelType w:val="hybridMultilevel"/>
    <w:tmpl w:val="743A62CA"/>
    <w:lvl w:ilvl="0" w:tplc="3AA09C88">
      <w:start w:val="1"/>
      <w:numFmt w:val="lowerRoman"/>
      <w:pStyle w:val="Bullets-Numeral"/>
      <w:lvlText w:val="%1."/>
      <w:lvlJc w:val="left"/>
      <w:pPr>
        <w:ind w:left="108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 w15:restartNumberingAfterBreak="0">
    <w:nsid w:val="06977246"/>
    <w:multiLevelType w:val="multilevel"/>
    <w:tmpl w:val="F0545270"/>
    <w:lvl w:ilvl="0">
      <w:start w:val="1"/>
      <w:numFmt w:val="decimal"/>
      <w:pStyle w:val="Heading2"/>
      <w:lvlText w:val="%1."/>
      <w:lvlJc w:val="left"/>
      <w:pPr>
        <w:ind w:left="360" w:hanging="360"/>
      </w:pPr>
    </w:lvl>
    <w:lvl w:ilvl="1">
      <w:start w:val="1"/>
      <w:numFmt w:val="decimal"/>
      <w:pStyle w:val="NumberedParagraph"/>
      <w:lvlText w:val="%1.%2."/>
      <w:lvlJc w:val="left"/>
      <w:pPr>
        <w:ind w:left="100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F26DDF"/>
    <w:multiLevelType w:val="hybridMultilevel"/>
    <w:tmpl w:val="D4A08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013EB1"/>
    <w:multiLevelType w:val="multilevel"/>
    <w:tmpl w:val="F414430A"/>
    <w:lvl w:ilvl="0">
      <w:start w:val="1"/>
      <w:numFmt w:val="bullet"/>
      <w:pStyle w:val="Tabletextbullet"/>
      <w:lvlText w:val=""/>
      <w:lvlJc w:val="left"/>
      <w:pPr>
        <w:ind w:left="1080" w:hanging="360"/>
      </w:pPr>
      <w:rPr>
        <w:rFonts w:ascii="Symbol" w:hAnsi="Symbol" w:hint="default"/>
        <w:color w:val="003366"/>
        <w:sz w:val="24"/>
      </w:rPr>
    </w:lvl>
    <w:lvl w:ilvl="1">
      <w:start w:val="1"/>
      <w:numFmt w:val="bullet"/>
      <w:pStyle w:val="Bullet2"/>
      <w:lvlText w:val=""/>
      <w:lvlJc w:val="left"/>
      <w:pPr>
        <w:tabs>
          <w:tab w:val="num" w:pos="2394"/>
        </w:tabs>
        <w:ind w:left="1915" w:hanging="360"/>
      </w:pPr>
      <w:rPr>
        <w:rFonts w:ascii="Symbol" w:hAnsi="Symbol" w:hint="default"/>
      </w:rPr>
    </w:lvl>
    <w:lvl w:ilvl="2">
      <w:start w:val="1"/>
      <w:numFmt w:val="bullet"/>
      <w:lvlText w:val=""/>
      <w:lvlJc w:val="left"/>
      <w:pPr>
        <w:tabs>
          <w:tab w:val="num" w:pos="3229"/>
        </w:tabs>
        <w:ind w:left="2750" w:hanging="360"/>
      </w:pPr>
      <w:rPr>
        <w:rFonts w:ascii="Wingdings" w:hAnsi="Wingdings" w:hint="default"/>
      </w:rPr>
    </w:lvl>
    <w:lvl w:ilvl="3">
      <w:start w:val="1"/>
      <w:numFmt w:val="bullet"/>
      <w:lvlText w:val=""/>
      <w:lvlJc w:val="left"/>
      <w:pPr>
        <w:tabs>
          <w:tab w:val="num" w:pos="4064"/>
        </w:tabs>
        <w:ind w:left="3585" w:hanging="360"/>
      </w:pPr>
      <w:rPr>
        <w:rFonts w:ascii="Symbol" w:hAnsi="Symbol" w:hint="default"/>
      </w:rPr>
    </w:lvl>
    <w:lvl w:ilvl="4">
      <w:start w:val="1"/>
      <w:numFmt w:val="bullet"/>
      <w:lvlText w:val="o"/>
      <w:lvlJc w:val="left"/>
      <w:pPr>
        <w:tabs>
          <w:tab w:val="num" w:pos="4899"/>
        </w:tabs>
        <w:ind w:left="4420" w:hanging="360"/>
      </w:pPr>
      <w:rPr>
        <w:rFonts w:ascii="Courier New" w:hAnsi="Courier New" w:cs="Courier New" w:hint="default"/>
      </w:rPr>
    </w:lvl>
    <w:lvl w:ilvl="5">
      <w:start w:val="1"/>
      <w:numFmt w:val="bullet"/>
      <w:lvlText w:val=""/>
      <w:lvlJc w:val="left"/>
      <w:pPr>
        <w:tabs>
          <w:tab w:val="num" w:pos="5734"/>
        </w:tabs>
        <w:ind w:left="5255" w:hanging="360"/>
      </w:pPr>
      <w:rPr>
        <w:rFonts w:ascii="Wingdings" w:hAnsi="Wingdings" w:hint="default"/>
      </w:rPr>
    </w:lvl>
    <w:lvl w:ilvl="6">
      <w:start w:val="1"/>
      <w:numFmt w:val="bullet"/>
      <w:lvlText w:val=""/>
      <w:lvlJc w:val="left"/>
      <w:pPr>
        <w:tabs>
          <w:tab w:val="num" w:pos="6569"/>
        </w:tabs>
        <w:ind w:left="6090" w:hanging="360"/>
      </w:pPr>
      <w:rPr>
        <w:rFonts w:ascii="Symbol" w:hAnsi="Symbol" w:hint="default"/>
      </w:rPr>
    </w:lvl>
    <w:lvl w:ilvl="7">
      <w:start w:val="1"/>
      <w:numFmt w:val="bullet"/>
      <w:lvlText w:val="o"/>
      <w:lvlJc w:val="left"/>
      <w:pPr>
        <w:tabs>
          <w:tab w:val="num" w:pos="7404"/>
        </w:tabs>
        <w:ind w:left="6925" w:hanging="360"/>
      </w:pPr>
      <w:rPr>
        <w:rFonts w:ascii="Courier New" w:hAnsi="Courier New" w:cs="Courier New" w:hint="default"/>
      </w:rPr>
    </w:lvl>
    <w:lvl w:ilvl="8">
      <w:start w:val="1"/>
      <w:numFmt w:val="bullet"/>
      <w:lvlText w:val=""/>
      <w:lvlJc w:val="left"/>
      <w:pPr>
        <w:tabs>
          <w:tab w:val="num" w:pos="8239"/>
        </w:tabs>
        <w:ind w:left="7760" w:hanging="360"/>
      </w:pPr>
      <w:rPr>
        <w:rFonts w:ascii="Wingdings" w:hAnsi="Wingdings" w:hint="default"/>
      </w:rPr>
    </w:lvl>
  </w:abstractNum>
  <w:abstractNum w:abstractNumId="5" w15:restartNumberingAfterBreak="0">
    <w:nsid w:val="1E1963D5"/>
    <w:multiLevelType w:val="hybridMultilevel"/>
    <w:tmpl w:val="5A8E5C3E"/>
    <w:lvl w:ilvl="0" w:tplc="A0F457B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3AAA4934"/>
    <w:multiLevelType w:val="hybridMultilevel"/>
    <w:tmpl w:val="19088918"/>
    <w:lvl w:ilvl="0" w:tplc="C00636E4">
      <w:start w:val="1"/>
      <w:numFmt w:val="bullet"/>
      <w:pStyle w:val="Bullets-Square"/>
      <w:lvlText w:val=""/>
      <w:lvlJc w:val="left"/>
      <w:pPr>
        <w:tabs>
          <w:tab w:val="num" w:pos="1066"/>
        </w:tabs>
        <w:ind w:left="1066" w:hanging="357"/>
      </w:pPr>
      <w:rPr>
        <w:rFonts w:ascii="Wingdings 2" w:hAnsi="Wingdings 2" w:hint="default"/>
        <w:color w:val="000000" w:themeColor="text1"/>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774904C1"/>
    <w:multiLevelType w:val="multilevel"/>
    <w:tmpl w:val="FD1A6164"/>
    <w:lvl w:ilvl="0">
      <w:start w:val="1"/>
      <w:numFmt w:val="decimal"/>
      <w:lvlText w:val="%1."/>
      <w:lvlJc w:val="left"/>
      <w:pPr>
        <w:ind w:left="360" w:hanging="360"/>
      </w:pPr>
    </w:lvl>
    <w:lvl w:ilvl="1">
      <w:start w:val="1"/>
      <w:numFmt w:val="bullet"/>
      <w:lvlText w:val=""/>
      <w:lvlJc w:val="left"/>
      <w:pPr>
        <w:ind w:left="1000" w:hanging="432"/>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6487254">
    <w:abstractNumId w:val="2"/>
  </w:num>
  <w:num w:numId="2" w16cid:durableId="1129203657">
    <w:abstractNumId w:val="6"/>
  </w:num>
  <w:num w:numId="3" w16cid:durableId="1001808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0547059">
    <w:abstractNumId w:val="0"/>
  </w:num>
  <w:num w:numId="5" w16cid:durableId="325016028">
    <w:abstractNumId w:val="4"/>
  </w:num>
  <w:num w:numId="6" w16cid:durableId="900487413">
    <w:abstractNumId w:val="7"/>
  </w:num>
  <w:num w:numId="7" w16cid:durableId="2098938963">
    <w:abstractNumId w:val="2"/>
  </w:num>
  <w:num w:numId="8" w16cid:durableId="1025639946">
    <w:abstractNumId w:val="2"/>
  </w:num>
  <w:num w:numId="9" w16cid:durableId="1583635311">
    <w:abstractNumId w:val="2"/>
  </w:num>
  <w:num w:numId="10" w16cid:durableId="478116923">
    <w:abstractNumId w:val="2"/>
  </w:num>
  <w:num w:numId="11" w16cid:durableId="449513169">
    <w:abstractNumId w:val="2"/>
  </w:num>
  <w:num w:numId="12" w16cid:durableId="1505508950">
    <w:abstractNumId w:val="2"/>
  </w:num>
  <w:num w:numId="13" w16cid:durableId="931399248">
    <w:abstractNumId w:val="2"/>
  </w:num>
  <w:num w:numId="14" w16cid:durableId="1276131653">
    <w:abstractNumId w:val="2"/>
  </w:num>
  <w:num w:numId="15" w16cid:durableId="1804928701">
    <w:abstractNumId w:val="2"/>
  </w:num>
  <w:num w:numId="16" w16cid:durableId="1737362113">
    <w:abstractNumId w:val="2"/>
  </w:num>
  <w:num w:numId="17" w16cid:durableId="26876029">
    <w:abstractNumId w:val="2"/>
  </w:num>
  <w:num w:numId="18" w16cid:durableId="1916284158">
    <w:abstractNumId w:val="2"/>
  </w:num>
  <w:num w:numId="19" w16cid:durableId="1571231230">
    <w:abstractNumId w:val="2"/>
  </w:num>
  <w:num w:numId="20" w16cid:durableId="1215309679">
    <w:abstractNumId w:val="2"/>
  </w:num>
  <w:num w:numId="21" w16cid:durableId="835463367">
    <w:abstractNumId w:val="6"/>
  </w:num>
  <w:num w:numId="22" w16cid:durableId="1771851875">
    <w:abstractNumId w:val="6"/>
  </w:num>
  <w:num w:numId="23" w16cid:durableId="471020681">
    <w:abstractNumId w:val="2"/>
  </w:num>
  <w:num w:numId="24" w16cid:durableId="2018844321">
    <w:abstractNumId w:val="2"/>
  </w:num>
  <w:num w:numId="25" w16cid:durableId="1756584416">
    <w:abstractNumId w:val="2"/>
  </w:num>
  <w:num w:numId="26" w16cid:durableId="16803500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3191657">
    <w:abstractNumId w:val="2"/>
  </w:num>
  <w:num w:numId="28" w16cid:durableId="1334333092">
    <w:abstractNumId w:val="1"/>
  </w:num>
  <w:num w:numId="29" w16cid:durableId="1928269288">
    <w:abstractNumId w:val="3"/>
  </w:num>
  <w:num w:numId="30" w16cid:durableId="1941375253">
    <w:abstractNumId w:val="2"/>
  </w:num>
  <w:num w:numId="31" w16cid:durableId="1194927201">
    <w:abstractNumId w:val="2"/>
  </w:num>
  <w:num w:numId="32" w16cid:durableId="1141114161">
    <w:abstractNumId w:val="2"/>
  </w:num>
  <w:num w:numId="33" w16cid:durableId="41565871">
    <w:abstractNumId w:val="2"/>
  </w:num>
  <w:num w:numId="34" w16cid:durableId="701130090">
    <w:abstractNumId w:val="2"/>
  </w:num>
  <w:num w:numId="35" w16cid:durableId="208616805">
    <w:abstractNumId w:val="2"/>
  </w:num>
  <w:num w:numId="36" w16cid:durableId="902982448">
    <w:abstractNumId w:val="2"/>
  </w:num>
  <w:num w:numId="37" w16cid:durableId="2042052313">
    <w:abstractNumId w:val="2"/>
  </w:num>
  <w:num w:numId="38" w16cid:durableId="1836410376">
    <w:abstractNumId w:val="2"/>
  </w:num>
  <w:num w:numId="39" w16cid:durableId="535310375">
    <w:abstractNumId w:val="2"/>
  </w:num>
  <w:num w:numId="40" w16cid:durableId="1244755762">
    <w:abstractNumId w:val="2"/>
  </w:num>
  <w:num w:numId="41" w16cid:durableId="119614942">
    <w:abstractNumId w:val="5"/>
  </w:num>
  <w:num w:numId="42" w16cid:durableId="900094217">
    <w:abstractNumId w:val="2"/>
  </w:num>
  <w:num w:numId="43" w16cid:durableId="1691908985">
    <w:abstractNumId w:val="2"/>
  </w:num>
  <w:num w:numId="44" w16cid:durableId="288585740">
    <w:abstractNumId w:val="2"/>
  </w:num>
  <w:num w:numId="45" w16cid:durableId="681588167">
    <w:abstractNumId w:val="2"/>
  </w:num>
  <w:num w:numId="46" w16cid:durableId="1352682587">
    <w:abstractNumId w:val="2"/>
  </w:num>
  <w:num w:numId="47" w16cid:durableId="195370959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1FD"/>
    <w:rsid w:val="0000199D"/>
    <w:rsid w:val="00001EF0"/>
    <w:rsid w:val="00010C3A"/>
    <w:rsid w:val="00027D44"/>
    <w:rsid w:val="00033732"/>
    <w:rsid w:val="000471CA"/>
    <w:rsid w:val="00047704"/>
    <w:rsid w:val="00054106"/>
    <w:rsid w:val="000664BA"/>
    <w:rsid w:val="00067ED8"/>
    <w:rsid w:val="000720FA"/>
    <w:rsid w:val="0007357F"/>
    <w:rsid w:val="0007367A"/>
    <w:rsid w:val="00074296"/>
    <w:rsid w:val="00076890"/>
    <w:rsid w:val="0008655B"/>
    <w:rsid w:val="00087DFD"/>
    <w:rsid w:val="00087EEC"/>
    <w:rsid w:val="000A3E09"/>
    <w:rsid w:val="000A40D6"/>
    <w:rsid w:val="000A42C0"/>
    <w:rsid w:val="000A6BC8"/>
    <w:rsid w:val="000B1058"/>
    <w:rsid w:val="000B4F5F"/>
    <w:rsid w:val="000B53D7"/>
    <w:rsid w:val="000C1109"/>
    <w:rsid w:val="000C116B"/>
    <w:rsid w:val="000C26DF"/>
    <w:rsid w:val="000D1B38"/>
    <w:rsid w:val="000D4678"/>
    <w:rsid w:val="000D57DA"/>
    <w:rsid w:val="000E7998"/>
    <w:rsid w:val="000E7F16"/>
    <w:rsid w:val="000F1E82"/>
    <w:rsid w:val="000F21F4"/>
    <w:rsid w:val="000F4A1D"/>
    <w:rsid w:val="000F56B4"/>
    <w:rsid w:val="00105C6F"/>
    <w:rsid w:val="00114653"/>
    <w:rsid w:val="00114BF9"/>
    <w:rsid w:val="00116F93"/>
    <w:rsid w:val="001179C7"/>
    <w:rsid w:val="0012444E"/>
    <w:rsid w:val="001263CC"/>
    <w:rsid w:val="00130CED"/>
    <w:rsid w:val="00132C0D"/>
    <w:rsid w:val="001343A2"/>
    <w:rsid w:val="00134CA0"/>
    <w:rsid w:val="0013539C"/>
    <w:rsid w:val="001454ED"/>
    <w:rsid w:val="001457B3"/>
    <w:rsid w:val="00146470"/>
    <w:rsid w:val="001531A9"/>
    <w:rsid w:val="00153CF0"/>
    <w:rsid w:val="00155FD4"/>
    <w:rsid w:val="0015601B"/>
    <w:rsid w:val="00161F12"/>
    <w:rsid w:val="00162CF0"/>
    <w:rsid w:val="00163284"/>
    <w:rsid w:val="00164192"/>
    <w:rsid w:val="00167966"/>
    <w:rsid w:val="00167D33"/>
    <w:rsid w:val="0017121B"/>
    <w:rsid w:val="0017264A"/>
    <w:rsid w:val="0017281A"/>
    <w:rsid w:val="00173D7E"/>
    <w:rsid w:val="001747E9"/>
    <w:rsid w:val="00175D37"/>
    <w:rsid w:val="001779B9"/>
    <w:rsid w:val="00182985"/>
    <w:rsid w:val="0018648A"/>
    <w:rsid w:val="001931D3"/>
    <w:rsid w:val="00194E12"/>
    <w:rsid w:val="00195D2A"/>
    <w:rsid w:val="00197052"/>
    <w:rsid w:val="0019758A"/>
    <w:rsid w:val="001A4CC2"/>
    <w:rsid w:val="001B4838"/>
    <w:rsid w:val="001C2035"/>
    <w:rsid w:val="001C2459"/>
    <w:rsid w:val="001C43E1"/>
    <w:rsid w:val="001C4BA3"/>
    <w:rsid w:val="001E0419"/>
    <w:rsid w:val="001E3CD2"/>
    <w:rsid w:val="001E3ECD"/>
    <w:rsid w:val="001E4F46"/>
    <w:rsid w:val="001F359E"/>
    <w:rsid w:val="001F46FF"/>
    <w:rsid w:val="001F53CD"/>
    <w:rsid w:val="00200F5E"/>
    <w:rsid w:val="00202330"/>
    <w:rsid w:val="0021201F"/>
    <w:rsid w:val="002128F9"/>
    <w:rsid w:val="00212EE5"/>
    <w:rsid w:val="00215849"/>
    <w:rsid w:val="00215A92"/>
    <w:rsid w:val="00217729"/>
    <w:rsid w:val="00220A1D"/>
    <w:rsid w:val="00223CFA"/>
    <w:rsid w:val="00230C69"/>
    <w:rsid w:val="00231359"/>
    <w:rsid w:val="00252102"/>
    <w:rsid w:val="00260EC7"/>
    <w:rsid w:val="00265880"/>
    <w:rsid w:val="00267F32"/>
    <w:rsid w:val="00272690"/>
    <w:rsid w:val="002730CB"/>
    <w:rsid w:val="0027537F"/>
    <w:rsid w:val="0027572D"/>
    <w:rsid w:val="002758CD"/>
    <w:rsid w:val="002802D2"/>
    <w:rsid w:val="00282273"/>
    <w:rsid w:val="002968F2"/>
    <w:rsid w:val="002977CC"/>
    <w:rsid w:val="002B0659"/>
    <w:rsid w:val="002B171A"/>
    <w:rsid w:val="002B2DBF"/>
    <w:rsid w:val="002B3BE3"/>
    <w:rsid w:val="002B5A8A"/>
    <w:rsid w:val="002B722D"/>
    <w:rsid w:val="002C1E43"/>
    <w:rsid w:val="002C3C5D"/>
    <w:rsid w:val="002C61D3"/>
    <w:rsid w:val="002C6FB5"/>
    <w:rsid w:val="002D027F"/>
    <w:rsid w:val="002E185A"/>
    <w:rsid w:val="002E784A"/>
    <w:rsid w:val="002F1A3B"/>
    <w:rsid w:val="002F45FE"/>
    <w:rsid w:val="002F5549"/>
    <w:rsid w:val="00302753"/>
    <w:rsid w:val="00307763"/>
    <w:rsid w:val="00310E97"/>
    <w:rsid w:val="00312ECA"/>
    <w:rsid w:val="003137BB"/>
    <w:rsid w:val="003159D3"/>
    <w:rsid w:val="00317F12"/>
    <w:rsid w:val="0032639B"/>
    <w:rsid w:val="00327F01"/>
    <w:rsid w:val="00337C95"/>
    <w:rsid w:val="00341BC2"/>
    <w:rsid w:val="003448EA"/>
    <w:rsid w:val="0034515C"/>
    <w:rsid w:val="00350043"/>
    <w:rsid w:val="00356446"/>
    <w:rsid w:val="00356F50"/>
    <w:rsid w:val="00357851"/>
    <w:rsid w:val="00360473"/>
    <w:rsid w:val="0036441A"/>
    <w:rsid w:val="003660B7"/>
    <w:rsid w:val="00366DC5"/>
    <w:rsid w:val="00367EFE"/>
    <w:rsid w:val="00367F50"/>
    <w:rsid w:val="00370779"/>
    <w:rsid w:val="003714C5"/>
    <w:rsid w:val="00372912"/>
    <w:rsid w:val="00375069"/>
    <w:rsid w:val="00381588"/>
    <w:rsid w:val="003832F3"/>
    <w:rsid w:val="003835F5"/>
    <w:rsid w:val="0038399B"/>
    <w:rsid w:val="003849C1"/>
    <w:rsid w:val="00385FCF"/>
    <w:rsid w:val="0038686C"/>
    <w:rsid w:val="00392256"/>
    <w:rsid w:val="00393A8F"/>
    <w:rsid w:val="003A0E38"/>
    <w:rsid w:val="003A2C4A"/>
    <w:rsid w:val="003A6AD1"/>
    <w:rsid w:val="003A7524"/>
    <w:rsid w:val="003B0593"/>
    <w:rsid w:val="003C3FAB"/>
    <w:rsid w:val="003C5501"/>
    <w:rsid w:val="003C6683"/>
    <w:rsid w:val="003D0761"/>
    <w:rsid w:val="003D5919"/>
    <w:rsid w:val="003E13D5"/>
    <w:rsid w:val="003E38D6"/>
    <w:rsid w:val="003F5790"/>
    <w:rsid w:val="003F7AD4"/>
    <w:rsid w:val="004017B1"/>
    <w:rsid w:val="004052CF"/>
    <w:rsid w:val="0041468C"/>
    <w:rsid w:val="004210B8"/>
    <w:rsid w:val="00421A18"/>
    <w:rsid w:val="004222E0"/>
    <w:rsid w:val="00423ACA"/>
    <w:rsid w:val="00424028"/>
    <w:rsid w:val="00430216"/>
    <w:rsid w:val="00434C50"/>
    <w:rsid w:val="00435848"/>
    <w:rsid w:val="0044533D"/>
    <w:rsid w:val="00452FA2"/>
    <w:rsid w:val="004539B9"/>
    <w:rsid w:val="004560F5"/>
    <w:rsid w:val="0045792E"/>
    <w:rsid w:val="004624C1"/>
    <w:rsid w:val="004670DD"/>
    <w:rsid w:val="004702E8"/>
    <w:rsid w:val="00470F34"/>
    <w:rsid w:val="004714A8"/>
    <w:rsid w:val="004726B8"/>
    <w:rsid w:val="004732F7"/>
    <w:rsid w:val="004761CE"/>
    <w:rsid w:val="004820AC"/>
    <w:rsid w:val="00482934"/>
    <w:rsid w:val="004865CD"/>
    <w:rsid w:val="00494832"/>
    <w:rsid w:val="00494D10"/>
    <w:rsid w:val="004A10D2"/>
    <w:rsid w:val="004A1275"/>
    <w:rsid w:val="004A3645"/>
    <w:rsid w:val="004A4989"/>
    <w:rsid w:val="004B0374"/>
    <w:rsid w:val="004B35DF"/>
    <w:rsid w:val="004B57F6"/>
    <w:rsid w:val="004B6591"/>
    <w:rsid w:val="004C0ABA"/>
    <w:rsid w:val="004C2B8E"/>
    <w:rsid w:val="004C3481"/>
    <w:rsid w:val="004C3884"/>
    <w:rsid w:val="004C38F2"/>
    <w:rsid w:val="004C50F3"/>
    <w:rsid w:val="004C5715"/>
    <w:rsid w:val="004C5B7F"/>
    <w:rsid w:val="004D1630"/>
    <w:rsid w:val="004D5235"/>
    <w:rsid w:val="004D5EA1"/>
    <w:rsid w:val="004E4938"/>
    <w:rsid w:val="004F1D57"/>
    <w:rsid w:val="004F4C7B"/>
    <w:rsid w:val="005109DD"/>
    <w:rsid w:val="00514CAC"/>
    <w:rsid w:val="00517CDB"/>
    <w:rsid w:val="005211B5"/>
    <w:rsid w:val="00532418"/>
    <w:rsid w:val="00532429"/>
    <w:rsid w:val="00533CB6"/>
    <w:rsid w:val="0053679B"/>
    <w:rsid w:val="00544674"/>
    <w:rsid w:val="00545EFC"/>
    <w:rsid w:val="005503E0"/>
    <w:rsid w:val="00550694"/>
    <w:rsid w:val="005522BD"/>
    <w:rsid w:val="005562EF"/>
    <w:rsid w:val="00565C29"/>
    <w:rsid w:val="00570ABF"/>
    <w:rsid w:val="0057261B"/>
    <w:rsid w:val="005746E7"/>
    <w:rsid w:val="005773BB"/>
    <w:rsid w:val="00581999"/>
    <w:rsid w:val="00586692"/>
    <w:rsid w:val="0059660D"/>
    <w:rsid w:val="0059728D"/>
    <w:rsid w:val="00597F0C"/>
    <w:rsid w:val="005A029A"/>
    <w:rsid w:val="005A7077"/>
    <w:rsid w:val="005B1DA2"/>
    <w:rsid w:val="005B2D51"/>
    <w:rsid w:val="005B35C3"/>
    <w:rsid w:val="005B4B07"/>
    <w:rsid w:val="005B75BB"/>
    <w:rsid w:val="005C1CE8"/>
    <w:rsid w:val="005C6B62"/>
    <w:rsid w:val="005C7AA3"/>
    <w:rsid w:val="005D774A"/>
    <w:rsid w:val="005D79FA"/>
    <w:rsid w:val="005E1D1D"/>
    <w:rsid w:val="005E25FD"/>
    <w:rsid w:val="005E3656"/>
    <w:rsid w:val="005E3AD1"/>
    <w:rsid w:val="005E4DA2"/>
    <w:rsid w:val="005F5412"/>
    <w:rsid w:val="0060026C"/>
    <w:rsid w:val="00606BE5"/>
    <w:rsid w:val="006079CA"/>
    <w:rsid w:val="00610E83"/>
    <w:rsid w:val="00612477"/>
    <w:rsid w:val="00613C14"/>
    <w:rsid w:val="0061753B"/>
    <w:rsid w:val="006179CD"/>
    <w:rsid w:val="0062631C"/>
    <w:rsid w:val="0063009D"/>
    <w:rsid w:val="0063027E"/>
    <w:rsid w:val="0063563D"/>
    <w:rsid w:val="0064234F"/>
    <w:rsid w:val="006431D4"/>
    <w:rsid w:val="00646048"/>
    <w:rsid w:val="006462F5"/>
    <w:rsid w:val="00652F4A"/>
    <w:rsid w:val="00654337"/>
    <w:rsid w:val="006568DB"/>
    <w:rsid w:val="0065691E"/>
    <w:rsid w:val="00657F2C"/>
    <w:rsid w:val="00660DEA"/>
    <w:rsid w:val="00662F50"/>
    <w:rsid w:val="006635A9"/>
    <w:rsid w:val="0066372D"/>
    <w:rsid w:val="00665D34"/>
    <w:rsid w:val="00670211"/>
    <w:rsid w:val="00670397"/>
    <w:rsid w:val="00672065"/>
    <w:rsid w:val="00672FDE"/>
    <w:rsid w:val="00680FA1"/>
    <w:rsid w:val="006859DC"/>
    <w:rsid w:val="006971DD"/>
    <w:rsid w:val="006A35FA"/>
    <w:rsid w:val="006A396B"/>
    <w:rsid w:val="006B24BD"/>
    <w:rsid w:val="006B4402"/>
    <w:rsid w:val="006B6FD2"/>
    <w:rsid w:val="006C3787"/>
    <w:rsid w:val="006C547A"/>
    <w:rsid w:val="006C7821"/>
    <w:rsid w:val="006D0E26"/>
    <w:rsid w:val="006D3A9D"/>
    <w:rsid w:val="006D6A01"/>
    <w:rsid w:val="006E0334"/>
    <w:rsid w:val="006E2B92"/>
    <w:rsid w:val="006E4740"/>
    <w:rsid w:val="006E566F"/>
    <w:rsid w:val="006E6CF9"/>
    <w:rsid w:val="006F06FA"/>
    <w:rsid w:val="006F4DCE"/>
    <w:rsid w:val="006F64AA"/>
    <w:rsid w:val="00700E8B"/>
    <w:rsid w:val="00702643"/>
    <w:rsid w:val="0070515B"/>
    <w:rsid w:val="007058B6"/>
    <w:rsid w:val="0070648E"/>
    <w:rsid w:val="00710568"/>
    <w:rsid w:val="00711D40"/>
    <w:rsid w:val="0072319D"/>
    <w:rsid w:val="007236F5"/>
    <w:rsid w:val="00723D36"/>
    <w:rsid w:val="00726E11"/>
    <w:rsid w:val="00752F23"/>
    <w:rsid w:val="00754D41"/>
    <w:rsid w:val="00761F7A"/>
    <w:rsid w:val="00765352"/>
    <w:rsid w:val="00766317"/>
    <w:rsid w:val="007671F7"/>
    <w:rsid w:val="00771AFE"/>
    <w:rsid w:val="00774093"/>
    <w:rsid w:val="00774F74"/>
    <w:rsid w:val="007777E1"/>
    <w:rsid w:val="00780236"/>
    <w:rsid w:val="007861EE"/>
    <w:rsid w:val="00786719"/>
    <w:rsid w:val="007A4F11"/>
    <w:rsid w:val="007B1A43"/>
    <w:rsid w:val="007C1F4E"/>
    <w:rsid w:val="007C35EE"/>
    <w:rsid w:val="007C47A8"/>
    <w:rsid w:val="007C583A"/>
    <w:rsid w:val="007C7FBB"/>
    <w:rsid w:val="007D153F"/>
    <w:rsid w:val="007D647D"/>
    <w:rsid w:val="007E0E30"/>
    <w:rsid w:val="007E3D86"/>
    <w:rsid w:val="007E6FF3"/>
    <w:rsid w:val="007E7528"/>
    <w:rsid w:val="007F43FF"/>
    <w:rsid w:val="007F48ED"/>
    <w:rsid w:val="007F5F59"/>
    <w:rsid w:val="007F7E75"/>
    <w:rsid w:val="0080130C"/>
    <w:rsid w:val="00804B60"/>
    <w:rsid w:val="00804EC2"/>
    <w:rsid w:val="00807361"/>
    <w:rsid w:val="00811A79"/>
    <w:rsid w:val="00811EA8"/>
    <w:rsid w:val="00820670"/>
    <w:rsid w:val="008214CF"/>
    <w:rsid w:val="00822A91"/>
    <w:rsid w:val="00822E13"/>
    <w:rsid w:val="00823DFB"/>
    <w:rsid w:val="00831313"/>
    <w:rsid w:val="008378FD"/>
    <w:rsid w:val="0084248B"/>
    <w:rsid w:val="008432F9"/>
    <w:rsid w:val="00846042"/>
    <w:rsid w:val="00846A42"/>
    <w:rsid w:val="00853867"/>
    <w:rsid w:val="00853A35"/>
    <w:rsid w:val="00857D6D"/>
    <w:rsid w:val="00862720"/>
    <w:rsid w:val="00862C0D"/>
    <w:rsid w:val="008632C5"/>
    <w:rsid w:val="00873D39"/>
    <w:rsid w:val="00874441"/>
    <w:rsid w:val="0087539C"/>
    <w:rsid w:val="008766F7"/>
    <w:rsid w:val="008810A5"/>
    <w:rsid w:val="00883AAC"/>
    <w:rsid w:val="00885890"/>
    <w:rsid w:val="008918F7"/>
    <w:rsid w:val="008A41E8"/>
    <w:rsid w:val="008A481E"/>
    <w:rsid w:val="008B344B"/>
    <w:rsid w:val="008C1C7C"/>
    <w:rsid w:val="008C60E0"/>
    <w:rsid w:val="008D63E1"/>
    <w:rsid w:val="008E0F1D"/>
    <w:rsid w:val="008E1430"/>
    <w:rsid w:val="008E2CC0"/>
    <w:rsid w:val="008E3A21"/>
    <w:rsid w:val="008E70D8"/>
    <w:rsid w:val="008F2C1D"/>
    <w:rsid w:val="008F5DC1"/>
    <w:rsid w:val="008F6035"/>
    <w:rsid w:val="00903CD8"/>
    <w:rsid w:val="00905CD4"/>
    <w:rsid w:val="009068F6"/>
    <w:rsid w:val="009076AE"/>
    <w:rsid w:val="00911957"/>
    <w:rsid w:val="009246B2"/>
    <w:rsid w:val="00925528"/>
    <w:rsid w:val="009255C6"/>
    <w:rsid w:val="009305A0"/>
    <w:rsid w:val="00936BA1"/>
    <w:rsid w:val="00937BAD"/>
    <w:rsid w:val="0094205F"/>
    <w:rsid w:val="00954ABA"/>
    <w:rsid w:val="0095686C"/>
    <w:rsid w:val="009611D3"/>
    <w:rsid w:val="00961C6E"/>
    <w:rsid w:val="009621B1"/>
    <w:rsid w:val="00962474"/>
    <w:rsid w:val="00963270"/>
    <w:rsid w:val="009644D6"/>
    <w:rsid w:val="00967B58"/>
    <w:rsid w:val="0097017D"/>
    <w:rsid w:val="009702DF"/>
    <w:rsid w:val="00975659"/>
    <w:rsid w:val="00976826"/>
    <w:rsid w:val="00992600"/>
    <w:rsid w:val="00994862"/>
    <w:rsid w:val="009A6B47"/>
    <w:rsid w:val="009B2797"/>
    <w:rsid w:val="009B41FB"/>
    <w:rsid w:val="009B482B"/>
    <w:rsid w:val="009B60DE"/>
    <w:rsid w:val="009B786C"/>
    <w:rsid w:val="009C2CEF"/>
    <w:rsid w:val="009C6DD8"/>
    <w:rsid w:val="009C6F8E"/>
    <w:rsid w:val="009D55BF"/>
    <w:rsid w:val="009E3196"/>
    <w:rsid w:val="009E5747"/>
    <w:rsid w:val="009E5C12"/>
    <w:rsid w:val="009F1251"/>
    <w:rsid w:val="009F21A0"/>
    <w:rsid w:val="009F55D9"/>
    <w:rsid w:val="009F711C"/>
    <w:rsid w:val="009F7FFD"/>
    <w:rsid w:val="00A021FD"/>
    <w:rsid w:val="00A04925"/>
    <w:rsid w:val="00A12BB5"/>
    <w:rsid w:val="00A15172"/>
    <w:rsid w:val="00A163F6"/>
    <w:rsid w:val="00A21D1E"/>
    <w:rsid w:val="00A26939"/>
    <w:rsid w:val="00A3522A"/>
    <w:rsid w:val="00A40DD0"/>
    <w:rsid w:val="00A43CB8"/>
    <w:rsid w:val="00A44E51"/>
    <w:rsid w:val="00A468A7"/>
    <w:rsid w:val="00A54A05"/>
    <w:rsid w:val="00A55E0F"/>
    <w:rsid w:val="00A60AF6"/>
    <w:rsid w:val="00A60D6C"/>
    <w:rsid w:val="00A61700"/>
    <w:rsid w:val="00A64A50"/>
    <w:rsid w:val="00A66C4A"/>
    <w:rsid w:val="00A72409"/>
    <w:rsid w:val="00A72EB7"/>
    <w:rsid w:val="00A742DB"/>
    <w:rsid w:val="00A74AFE"/>
    <w:rsid w:val="00A77C9C"/>
    <w:rsid w:val="00A80B3C"/>
    <w:rsid w:val="00A80C09"/>
    <w:rsid w:val="00A824AA"/>
    <w:rsid w:val="00A87A08"/>
    <w:rsid w:val="00A90A72"/>
    <w:rsid w:val="00A913B1"/>
    <w:rsid w:val="00A914D6"/>
    <w:rsid w:val="00A945D7"/>
    <w:rsid w:val="00A963C3"/>
    <w:rsid w:val="00AB15D6"/>
    <w:rsid w:val="00AB6E44"/>
    <w:rsid w:val="00AB723E"/>
    <w:rsid w:val="00AD04AF"/>
    <w:rsid w:val="00AD3889"/>
    <w:rsid w:val="00AD47BB"/>
    <w:rsid w:val="00AE2201"/>
    <w:rsid w:val="00AE34B6"/>
    <w:rsid w:val="00AE5426"/>
    <w:rsid w:val="00AF31D9"/>
    <w:rsid w:val="00AF7DC0"/>
    <w:rsid w:val="00B016B4"/>
    <w:rsid w:val="00B07925"/>
    <w:rsid w:val="00B1221F"/>
    <w:rsid w:val="00B21BC3"/>
    <w:rsid w:val="00B264BD"/>
    <w:rsid w:val="00B27EA8"/>
    <w:rsid w:val="00B319FE"/>
    <w:rsid w:val="00B3576D"/>
    <w:rsid w:val="00B42F50"/>
    <w:rsid w:val="00B441AF"/>
    <w:rsid w:val="00B512FF"/>
    <w:rsid w:val="00B519F6"/>
    <w:rsid w:val="00B56A3E"/>
    <w:rsid w:val="00B56F41"/>
    <w:rsid w:val="00B661FD"/>
    <w:rsid w:val="00B674F4"/>
    <w:rsid w:val="00B71356"/>
    <w:rsid w:val="00B7252D"/>
    <w:rsid w:val="00B7480A"/>
    <w:rsid w:val="00B75668"/>
    <w:rsid w:val="00B85E92"/>
    <w:rsid w:val="00B85FE6"/>
    <w:rsid w:val="00B92D36"/>
    <w:rsid w:val="00B938D6"/>
    <w:rsid w:val="00B93ECF"/>
    <w:rsid w:val="00B947A2"/>
    <w:rsid w:val="00B94CC1"/>
    <w:rsid w:val="00B95496"/>
    <w:rsid w:val="00BA03F1"/>
    <w:rsid w:val="00BA2C1A"/>
    <w:rsid w:val="00BB3B4D"/>
    <w:rsid w:val="00BB4309"/>
    <w:rsid w:val="00BC157C"/>
    <w:rsid w:val="00BC35B3"/>
    <w:rsid w:val="00BC365D"/>
    <w:rsid w:val="00BC6B88"/>
    <w:rsid w:val="00BD5A1B"/>
    <w:rsid w:val="00BE1518"/>
    <w:rsid w:val="00BE248C"/>
    <w:rsid w:val="00BE53F8"/>
    <w:rsid w:val="00BE572B"/>
    <w:rsid w:val="00BE7128"/>
    <w:rsid w:val="00BF30AD"/>
    <w:rsid w:val="00BF5123"/>
    <w:rsid w:val="00BF7E5C"/>
    <w:rsid w:val="00C164C5"/>
    <w:rsid w:val="00C200AC"/>
    <w:rsid w:val="00C24530"/>
    <w:rsid w:val="00C30FB0"/>
    <w:rsid w:val="00C32D5D"/>
    <w:rsid w:val="00C34719"/>
    <w:rsid w:val="00C350F7"/>
    <w:rsid w:val="00C35E92"/>
    <w:rsid w:val="00C4440C"/>
    <w:rsid w:val="00C46ED0"/>
    <w:rsid w:val="00C515B0"/>
    <w:rsid w:val="00C546CD"/>
    <w:rsid w:val="00C550D9"/>
    <w:rsid w:val="00C551E2"/>
    <w:rsid w:val="00C56AA9"/>
    <w:rsid w:val="00C60BAF"/>
    <w:rsid w:val="00C63713"/>
    <w:rsid w:val="00C71289"/>
    <w:rsid w:val="00C71375"/>
    <w:rsid w:val="00C7416F"/>
    <w:rsid w:val="00C7548B"/>
    <w:rsid w:val="00C77212"/>
    <w:rsid w:val="00C80948"/>
    <w:rsid w:val="00C80CA7"/>
    <w:rsid w:val="00C8398A"/>
    <w:rsid w:val="00C870C5"/>
    <w:rsid w:val="00C8776A"/>
    <w:rsid w:val="00C90E79"/>
    <w:rsid w:val="00C90F05"/>
    <w:rsid w:val="00C921D3"/>
    <w:rsid w:val="00C939C2"/>
    <w:rsid w:val="00C94135"/>
    <w:rsid w:val="00C957AD"/>
    <w:rsid w:val="00C97096"/>
    <w:rsid w:val="00CA013D"/>
    <w:rsid w:val="00CA02EE"/>
    <w:rsid w:val="00CA3493"/>
    <w:rsid w:val="00CA5309"/>
    <w:rsid w:val="00CA675D"/>
    <w:rsid w:val="00CB0855"/>
    <w:rsid w:val="00CB2718"/>
    <w:rsid w:val="00CB382B"/>
    <w:rsid w:val="00CB3EB6"/>
    <w:rsid w:val="00CB6522"/>
    <w:rsid w:val="00CB7C85"/>
    <w:rsid w:val="00CC048E"/>
    <w:rsid w:val="00CD0550"/>
    <w:rsid w:val="00CD11E0"/>
    <w:rsid w:val="00CD5090"/>
    <w:rsid w:val="00CD6A61"/>
    <w:rsid w:val="00CE0A81"/>
    <w:rsid w:val="00CE2660"/>
    <w:rsid w:val="00CE3F7C"/>
    <w:rsid w:val="00CE4827"/>
    <w:rsid w:val="00CE5501"/>
    <w:rsid w:val="00CF0450"/>
    <w:rsid w:val="00CF2769"/>
    <w:rsid w:val="00CF4493"/>
    <w:rsid w:val="00CF499D"/>
    <w:rsid w:val="00CF4E99"/>
    <w:rsid w:val="00CF6DFD"/>
    <w:rsid w:val="00D01B39"/>
    <w:rsid w:val="00D03AA9"/>
    <w:rsid w:val="00D04C73"/>
    <w:rsid w:val="00D17A20"/>
    <w:rsid w:val="00D17B73"/>
    <w:rsid w:val="00D17D63"/>
    <w:rsid w:val="00D21F84"/>
    <w:rsid w:val="00D221EC"/>
    <w:rsid w:val="00D33314"/>
    <w:rsid w:val="00D352B4"/>
    <w:rsid w:val="00D3536D"/>
    <w:rsid w:val="00D36322"/>
    <w:rsid w:val="00D36DAF"/>
    <w:rsid w:val="00D40587"/>
    <w:rsid w:val="00D40900"/>
    <w:rsid w:val="00D41D67"/>
    <w:rsid w:val="00D43D80"/>
    <w:rsid w:val="00D4696D"/>
    <w:rsid w:val="00D50B63"/>
    <w:rsid w:val="00D52113"/>
    <w:rsid w:val="00D540A4"/>
    <w:rsid w:val="00D54E52"/>
    <w:rsid w:val="00D64062"/>
    <w:rsid w:val="00D7099B"/>
    <w:rsid w:val="00D744F7"/>
    <w:rsid w:val="00D81EBE"/>
    <w:rsid w:val="00D83752"/>
    <w:rsid w:val="00D84F75"/>
    <w:rsid w:val="00D87AC6"/>
    <w:rsid w:val="00D87D54"/>
    <w:rsid w:val="00D87D8C"/>
    <w:rsid w:val="00D92B37"/>
    <w:rsid w:val="00D93F13"/>
    <w:rsid w:val="00D95200"/>
    <w:rsid w:val="00DA5700"/>
    <w:rsid w:val="00DA5AB2"/>
    <w:rsid w:val="00DA6B7C"/>
    <w:rsid w:val="00DB1C48"/>
    <w:rsid w:val="00DB3D00"/>
    <w:rsid w:val="00DB5EBB"/>
    <w:rsid w:val="00DC0018"/>
    <w:rsid w:val="00DC563C"/>
    <w:rsid w:val="00DC5B49"/>
    <w:rsid w:val="00DD0CD3"/>
    <w:rsid w:val="00DD1D4B"/>
    <w:rsid w:val="00DD478F"/>
    <w:rsid w:val="00DD7661"/>
    <w:rsid w:val="00DE0736"/>
    <w:rsid w:val="00DF0046"/>
    <w:rsid w:val="00DF01F7"/>
    <w:rsid w:val="00DF0D72"/>
    <w:rsid w:val="00DF238F"/>
    <w:rsid w:val="00DF2D72"/>
    <w:rsid w:val="00E02CAD"/>
    <w:rsid w:val="00E05278"/>
    <w:rsid w:val="00E1003E"/>
    <w:rsid w:val="00E133D2"/>
    <w:rsid w:val="00E133FD"/>
    <w:rsid w:val="00E16C3A"/>
    <w:rsid w:val="00E16F26"/>
    <w:rsid w:val="00E21E98"/>
    <w:rsid w:val="00E2216F"/>
    <w:rsid w:val="00E243E2"/>
    <w:rsid w:val="00E3175A"/>
    <w:rsid w:val="00E334E3"/>
    <w:rsid w:val="00E33F18"/>
    <w:rsid w:val="00E34DC1"/>
    <w:rsid w:val="00E35FFB"/>
    <w:rsid w:val="00E40339"/>
    <w:rsid w:val="00E4618B"/>
    <w:rsid w:val="00E46722"/>
    <w:rsid w:val="00E57161"/>
    <w:rsid w:val="00E61D6C"/>
    <w:rsid w:val="00E708EF"/>
    <w:rsid w:val="00E71E6A"/>
    <w:rsid w:val="00E7228E"/>
    <w:rsid w:val="00E75A11"/>
    <w:rsid w:val="00E81ECF"/>
    <w:rsid w:val="00E82213"/>
    <w:rsid w:val="00E83B4B"/>
    <w:rsid w:val="00E852B7"/>
    <w:rsid w:val="00E85D75"/>
    <w:rsid w:val="00E91476"/>
    <w:rsid w:val="00E94158"/>
    <w:rsid w:val="00E97D1B"/>
    <w:rsid w:val="00EA5B79"/>
    <w:rsid w:val="00EB4AB1"/>
    <w:rsid w:val="00EB5D24"/>
    <w:rsid w:val="00EB60B4"/>
    <w:rsid w:val="00EB6C85"/>
    <w:rsid w:val="00EB7A29"/>
    <w:rsid w:val="00EC04D8"/>
    <w:rsid w:val="00EC162A"/>
    <w:rsid w:val="00EC219E"/>
    <w:rsid w:val="00EC3B0B"/>
    <w:rsid w:val="00EC6890"/>
    <w:rsid w:val="00ED00F8"/>
    <w:rsid w:val="00ED201F"/>
    <w:rsid w:val="00ED3079"/>
    <w:rsid w:val="00ED35D8"/>
    <w:rsid w:val="00EE3F0A"/>
    <w:rsid w:val="00EF1770"/>
    <w:rsid w:val="00EF480B"/>
    <w:rsid w:val="00EF70AA"/>
    <w:rsid w:val="00EF73C4"/>
    <w:rsid w:val="00F0172B"/>
    <w:rsid w:val="00F02BBA"/>
    <w:rsid w:val="00F04A3D"/>
    <w:rsid w:val="00F06CE6"/>
    <w:rsid w:val="00F07A32"/>
    <w:rsid w:val="00F11758"/>
    <w:rsid w:val="00F15CC9"/>
    <w:rsid w:val="00F15EB5"/>
    <w:rsid w:val="00F20605"/>
    <w:rsid w:val="00F23D3F"/>
    <w:rsid w:val="00F25DBD"/>
    <w:rsid w:val="00F26749"/>
    <w:rsid w:val="00F27DA9"/>
    <w:rsid w:val="00F31647"/>
    <w:rsid w:val="00F33426"/>
    <w:rsid w:val="00F33AF4"/>
    <w:rsid w:val="00F346D8"/>
    <w:rsid w:val="00F37509"/>
    <w:rsid w:val="00F45207"/>
    <w:rsid w:val="00F47BE5"/>
    <w:rsid w:val="00F50D02"/>
    <w:rsid w:val="00F54226"/>
    <w:rsid w:val="00F5501A"/>
    <w:rsid w:val="00F558BC"/>
    <w:rsid w:val="00F568AC"/>
    <w:rsid w:val="00F63DBE"/>
    <w:rsid w:val="00F63F81"/>
    <w:rsid w:val="00F73BF3"/>
    <w:rsid w:val="00F74516"/>
    <w:rsid w:val="00F74F52"/>
    <w:rsid w:val="00F7608B"/>
    <w:rsid w:val="00F76703"/>
    <w:rsid w:val="00F81AD6"/>
    <w:rsid w:val="00F81FBE"/>
    <w:rsid w:val="00F8458D"/>
    <w:rsid w:val="00F94D27"/>
    <w:rsid w:val="00FA6EE9"/>
    <w:rsid w:val="00FB4388"/>
    <w:rsid w:val="00FB491C"/>
    <w:rsid w:val="00FB4F51"/>
    <w:rsid w:val="00FB5267"/>
    <w:rsid w:val="00FC1B58"/>
    <w:rsid w:val="00FC23AA"/>
    <w:rsid w:val="00FC43EE"/>
    <w:rsid w:val="00FC62E6"/>
    <w:rsid w:val="00FD0807"/>
    <w:rsid w:val="00FD4BBE"/>
    <w:rsid w:val="00FD5ED0"/>
    <w:rsid w:val="00FD6C10"/>
    <w:rsid w:val="00FE18FD"/>
    <w:rsid w:val="00FE3B23"/>
    <w:rsid w:val="00FE5D50"/>
    <w:rsid w:val="00FE63EC"/>
    <w:rsid w:val="00FE7342"/>
    <w:rsid w:val="00FF3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74BB0466"/>
  <w15:docId w15:val="{00D355D2-8E61-4A56-BA66-2F8A352D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Heading,Chapter Heading,Bullet,Oscar Faber 1,Section Heading,Section,Section 1,Oscar Faber 1 Char,Section Heading Char,Section Char,Section 1 Char,Tomhead 1,Outline1,a,Title Name Char Char Char Char,1 ghost,g,L1,ADVICE 1,h1,CH,H,Headline 1,RSK"/>
    <w:basedOn w:val="Normal"/>
    <w:next w:val="Normal"/>
    <w:link w:val="Heading1Char"/>
    <w:qFormat/>
    <w:rsid w:val="00A742D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Sub Section,First Sub Heading,Heading 2 Left,Heading 2 Char Char Char,Char,Heading 2 Char1,Char Char,Heading 2 Char Char Char Char,Heading 2 Char Char Char1,Heading 2 Char Char1,Heading 2 Char Char,Oscar Faber 2,Oscar Faber 2 + ...,L2,Text,h2"/>
    <w:basedOn w:val="Heading1"/>
    <w:next w:val="NumberedParagraph"/>
    <w:link w:val="Heading2Char"/>
    <w:uiPriority w:val="1"/>
    <w:qFormat/>
    <w:rsid w:val="0087539C"/>
    <w:pPr>
      <w:keepLines w:val="0"/>
      <w:numPr>
        <w:numId w:val="1"/>
      </w:numPr>
      <w:spacing w:after="240"/>
      <w:outlineLvl w:val="1"/>
    </w:pPr>
    <w:rPr>
      <w:rFonts w:ascii="Arial Bold" w:eastAsia="Times New Roman" w:hAnsi="Arial Bold" w:cs="Arial"/>
      <w:color w:val="ED7000"/>
      <w:sz w:val="24"/>
      <w:szCs w:val="22"/>
    </w:rPr>
  </w:style>
  <w:style w:type="paragraph" w:styleId="Heading6">
    <w:name w:val="heading 6"/>
    <w:basedOn w:val="Normal"/>
    <w:next w:val="Normal"/>
    <w:link w:val="Heading6Char"/>
    <w:semiHidden/>
    <w:unhideWhenUsed/>
    <w:qFormat/>
    <w:rsid w:val="0063563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F31D9"/>
    <w:pPr>
      <w:tabs>
        <w:tab w:val="center" w:pos="4320"/>
        <w:tab w:val="right" w:pos="8640"/>
      </w:tabs>
    </w:pPr>
  </w:style>
  <w:style w:type="paragraph" w:styleId="Footer">
    <w:name w:val="footer"/>
    <w:basedOn w:val="Normal"/>
    <w:link w:val="FooterChar"/>
    <w:uiPriority w:val="99"/>
    <w:rsid w:val="00AF31D9"/>
    <w:pPr>
      <w:tabs>
        <w:tab w:val="center" w:pos="4320"/>
        <w:tab w:val="right" w:pos="8640"/>
      </w:tabs>
    </w:pPr>
  </w:style>
  <w:style w:type="character" w:styleId="Hyperlink">
    <w:name w:val="Hyperlink"/>
    <w:basedOn w:val="DefaultParagraphFont"/>
    <w:uiPriority w:val="99"/>
    <w:rsid w:val="00AF31D9"/>
    <w:rPr>
      <w:color w:val="0000FF"/>
      <w:u w:val="single"/>
    </w:rPr>
  </w:style>
  <w:style w:type="table" w:styleId="TableGrid">
    <w:name w:val="Table Grid"/>
    <w:basedOn w:val="TableNormal"/>
    <w:rsid w:val="00275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ssueRecord">
    <w:name w:val="Doc Issue Record"/>
    <w:basedOn w:val="Normal"/>
    <w:link w:val="DocIssueRecordChar"/>
    <w:qFormat/>
    <w:rsid w:val="00C4440C"/>
    <w:pPr>
      <w:spacing w:before="40"/>
      <w:jc w:val="center"/>
    </w:pPr>
    <w:rPr>
      <w:rFonts w:ascii="Arial" w:hAnsi="Arial"/>
      <w:sz w:val="16"/>
      <w:szCs w:val="16"/>
    </w:rPr>
  </w:style>
  <w:style w:type="character" w:customStyle="1" w:styleId="DocIssueRecordChar">
    <w:name w:val="Doc Issue Record Char"/>
    <w:link w:val="DocIssueRecord"/>
    <w:rsid w:val="00C4440C"/>
    <w:rPr>
      <w:rFonts w:ascii="Arial" w:hAnsi="Arial"/>
      <w:sz w:val="16"/>
      <w:szCs w:val="16"/>
      <w:lang w:eastAsia="en-US"/>
    </w:rPr>
  </w:style>
  <w:style w:type="paragraph" w:styleId="ListParagraph">
    <w:name w:val="List Paragraph"/>
    <w:basedOn w:val="Normal"/>
    <w:uiPriority w:val="34"/>
    <w:qFormat/>
    <w:rsid w:val="00424028"/>
    <w:pPr>
      <w:ind w:left="720"/>
      <w:contextualSpacing/>
    </w:pPr>
  </w:style>
  <w:style w:type="character" w:customStyle="1" w:styleId="Heading2Char">
    <w:name w:val="Heading 2 Char"/>
    <w:aliases w:val="Sub Section Char,First Sub Heading Char,Heading 2 Left Char,Heading 2 Char Char Char Char1,Char Char1,Heading 2 Char1 Char,Char Char Char,Heading 2 Char Char Char Char Char,Heading 2 Char Char Char1 Char,Heading 2 Char Char1 Char,L2 Char"/>
    <w:basedOn w:val="DefaultParagraphFont"/>
    <w:link w:val="Heading2"/>
    <w:uiPriority w:val="1"/>
    <w:rsid w:val="0087539C"/>
    <w:rPr>
      <w:rFonts w:ascii="Arial Bold" w:hAnsi="Arial Bold" w:cs="Arial"/>
      <w:color w:val="ED7000"/>
      <w:sz w:val="24"/>
      <w:szCs w:val="22"/>
      <w:lang w:eastAsia="en-US"/>
    </w:rPr>
  </w:style>
  <w:style w:type="paragraph" w:customStyle="1" w:styleId="NumberedParagraph">
    <w:name w:val="Numbered Paragraph"/>
    <w:basedOn w:val="Heading2"/>
    <w:link w:val="NumberedParagraphChar"/>
    <w:uiPriority w:val="2"/>
    <w:qFormat/>
    <w:rsid w:val="00C551E2"/>
    <w:pPr>
      <w:keepNext w:val="0"/>
      <w:numPr>
        <w:ilvl w:val="1"/>
      </w:numPr>
      <w:outlineLvl w:val="9"/>
    </w:pPr>
    <w:rPr>
      <w:rFonts w:ascii="Arial" w:hAnsi="Arial"/>
      <w:color w:val="auto"/>
      <w:sz w:val="20"/>
      <w:szCs w:val="20"/>
    </w:rPr>
  </w:style>
  <w:style w:type="character" w:customStyle="1" w:styleId="NumberedParagraphChar">
    <w:name w:val="Numbered Paragraph Char"/>
    <w:basedOn w:val="DefaultParagraphFont"/>
    <w:link w:val="NumberedParagraph"/>
    <w:uiPriority w:val="2"/>
    <w:rsid w:val="00C551E2"/>
    <w:rPr>
      <w:rFonts w:ascii="Arial" w:hAnsi="Arial" w:cs="Arial"/>
      <w:lang w:eastAsia="en-US"/>
    </w:rPr>
  </w:style>
  <w:style w:type="character" w:customStyle="1" w:styleId="Heading1Char">
    <w:name w:val="Heading 1 Char"/>
    <w:aliases w:val="Heading Char,Chapter Heading Char,Bullet Char,Oscar Faber 1 Char1,Section Heading Char1,Section Char1,Section 1 Char1,Oscar Faber 1 Char Char,Section Heading Char Char,Section Char Char,Section 1 Char Char,Tomhead 1 Char,Outline1 Char"/>
    <w:basedOn w:val="DefaultParagraphFont"/>
    <w:link w:val="Heading1"/>
    <w:rsid w:val="00A742DB"/>
    <w:rPr>
      <w:rFonts w:asciiTheme="majorHAnsi" w:eastAsiaTheme="majorEastAsia" w:hAnsiTheme="majorHAnsi" w:cstheme="majorBidi"/>
      <w:color w:val="365F91" w:themeColor="accent1" w:themeShade="BF"/>
      <w:sz w:val="32"/>
      <w:szCs w:val="32"/>
      <w:lang w:eastAsia="en-US"/>
    </w:rPr>
  </w:style>
  <w:style w:type="paragraph" w:customStyle="1" w:styleId="Bullets-Alpha">
    <w:name w:val="Bullets - Alpha"/>
    <w:basedOn w:val="Normal"/>
    <w:uiPriority w:val="4"/>
    <w:qFormat/>
    <w:rsid w:val="00A26939"/>
    <w:pPr>
      <w:tabs>
        <w:tab w:val="left" w:pos="1134"/>
      </w:tabs>
      <w:spacing w:after="240"/>
      <w:ind w:left="1134" w:hanging="414"/>
    </w:pPr>
    <w:rPr>
      <w:rFonts w:ascii="Arial" w:eastAsia="Calibri" w:hAnsi="Arial"/>
      <w:color w:val="191919"/>
      <w:sz w:val="20"/>
      <w:szCs w:val="22"/>
    </w:rPr>
  </w:style>
  <w:style w:type="character" w:customStyle="1" w:styleId="Bullets-SquareChar">
    <w:name w:val="Bullets - Square Char"/>
    <w:link w:val="Bullets-Square"/>
    <w:uiPriority w:val="4"/>
    <w:locked/>
    <w:rsid w:val="00A26939"/>
    <w:rPr>
      <w:rFonts w:ascii="Arial" w:hAnsi="Arial" w:cs="Arial"/>
      <w:color w:val="191919"/>
    </w:rPr>
  </w:style>
  <w:style w:type="paragraph" w:customStyle="1" w:styleId="Bullets-Square">
    <w:name w:val="Bullets - Square"/>
    <w:basedOn w:val="Normal"/>
    <w:link w:val="Bullets-SquareChar"/>
    <w:uiPriority w:val="4"/>
    <w:qFormat/>
    <w:rsid w:val="00A26939"/>
    <w:pPr>
      <w:numPr>
        <w:numId w:val="2"/>
      </w:numPr>
      <w:tabs>
        <w:tab w:val="left" w:pos="414"/>
      </w:tabs>
      <w:spacing w:before="120" w:after="120"/>
    </w:pPr>
    <w:rPr>
      <w:rFonts w:ascii="Arial" w:hAnsi="Arial" w:cs="Arial"/>
      <w:color w:val="191919"/>
      <w:sz w:val="20"/>
      <w:szCs w:val="20"/>
      <w:lang w:eastAsia="en-GB"/>
    </w:rPr>
  </w:style>
  <w:style w:type="character" w:customStyle="1" w:styleId="TableCaptionChar">
    <w:name w:val="Table Caption Char"/>
    <w:basedOn w:val="DefaultParagraphFont"/>
    <w:link w:val="TableCaption"/>
    <w:uiPriority w:val="6"/>
    <w:locked/>
    <w:rsid w:val="00A26939"/>
    <w:rPr>
      <w:rFonts w:ascii="Arial Narrow" w:hAnsi="Arial Narrow" w:cs="Arial"/>
      <w:bCs/>
      <w:sz w:val="18"/>
      <w:szCs w:val="28"/>
    </w:rPr>
  </w:style>
  <w:style w:type="paragraph" w:customStyle="1" w:styleId="TableCaption">
    <w:name w:val="Table Caption"/>
    <w:next w:val="BodyText"/>
    <w:link w:val="TableCaptionChar"/>
    <w:uiPriority w:val="6"/>
    <w:qFormat/>
    <w:rsid w:val="00A26939"/>
    <w:pPr>
      <w:keepNext/>
      <w:tabs>
        <w:tab w:val="left" w:pos="1701"/>
      </w:tabs>
      <w:spacing w:before="180" w:after="60"/>
      <w:ind w:left="720"/>
    </w:pPr>
    <w:rPr>
      <w:rFonts w:ascii="Arial Narrow" w:hAnsi="Arial Narrow" w:cs="Arial"/>
      <w:bCs/>
      <w:sz w:val="18"/>
      <w:szCs w:val="28"/>
    </w:rPr>
  </w:style>
  <w:style w:type="character" w:customStyle="1" w:styleId="HighlightedTextChar">
    <w:name w:val="Highlighted Text Char"/>
    <w:link w:val="HighlightedText"/>
    <w:uiPriority w:val="3"/>
    <w:locked/>
    <w:rsid w:val="00A26939"/>
    <w:rPr>
      <w:rFonts w:ascii="Arial" w:hAnsi="Arial" w:cs="Arial"/>
      <w:b/>
    </w:rPr>
  </w:style>
  <w:style w:type="paragraph" w:customStyle="1" w:styleId="HighlightedText">
    <w:name w:val="Highlighted Text"/>
    <w:basedOn w:val="BodyText"/>
    <w:next w:val="BodyText"/>
    <w:link w:val="HighlightedTextChar"/>
    <w:uiPriority w:val="3"/>
    <w:qFormat/>
    <w:rsid w:val="00A26939"/>
    <w:pPr>
      <w:tabs>
        <w:tab w:val="left" w:pos="851"/>
      </w:tabs>
      <w:spacing w:after="240"/>
      <w:ind w:left="720"/>
    </w:pPr>
    <w:rPr>
      <w:rFonts w:ascii="Arial" w:hAnsi="Arial" w:cs="Arial"/>
      <w:b/>
      <w:sz w:val="20"/>
      <w:szCs w:val="20"/>
      <w:lang w:eastAsia="en-GB"/>
    </w:rPr>
  </w:style>
  <w:style w:type="table" w:customStyle="1" w:styleId="PBATableIndented1">
    <w:name w:val="PBA Table Indented1"/>
    <w:basedOn w:val="TableNormal"/>
    <w:uiPriority w:val="99"/>
    <w:rsid w:val="00A26939"/>
    <w:pPr>
      <w:jc w:val="center"/>
    </w:pPr>
    <w:rPr>
      <w:rFonts w:ascii="Arial" w:eastAsia="Calibri" w:hAnsi="Arial"/>
      <w:color w:val="191919"/>
      <w:lang w:val="en-US" w:eastAsia="en-US"/>
    </w:rPr>
    <w:tblPr>
      <w:tblStyleRowBandSize w:val="1"/>
      <w:tblStyleColBandSize w:val="1"/>
      <w:tblInd w:w="0" w:type="nil"/>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vAlign w:val="center"/>
    </w:tcPr>
    <w:tblStylePr w:type="firstRow">
      <w:pPr>
        <w:wordWrap/>
        <w:spacing w:beforeLines="0" w:before="100" w:beforeAutospacing="1" w:afterLines="0" w:after="100" w:afterAutospacing="1"/>
        <w:jc w:val="center"/>
      </w:pPr>
      <w:rPr>
        <w:rFonts w:ascii="Arial" w:hAnsi="Arial" w:cs="Arial" w:hint="default"/>
        <w:b w:val="0"/>
        <w:i w:val="0"/>
        <w:color w:val="FFFFFF" w:themeColor="background1"/>
        <w:sz w:val="20"/>
        <w:szCs w:val="20"/>
      </w:rPr>
      <w:tblPr/>
      <w:tcPr>
        <w:shd w:val="clear" w:color="auto" w:fill="00334C"/>
      </w:tcPr>
    </w:tblStylePr>
    <w:tblStylePr w:type="band1Vert">
      <w:rPr>
        <w:rFonts w:ascii="Arial" w:hAnsi="Arial" w:cs="Arial" w:hint="default"/>
        <w:color w:val="000000"/>
        <w:sz w:val="20"/>
        <w:szCs w:val="20"/>
      </w:rPr>
    </w:tblStylePr>
  </w:style>
  <w:style w:type="paragraph" w:styleId="BodyText">
    <w:name w:val="Body Text"/>
    <w:basedOn w:val="Normal"/>
    <w:link w:val="BodyTextChar"/>
    <w:unhideWhenUsed/>
    <w:rsid w:val="00A26939"/>
    <w:pPr>
      <w:spacing w:after="120"/>
    </w:pPr>
  </w:style>
  <w:style w:type="character" w:customStyle="1" w:styleId="BodyTextChar">
    <w:name w:val="Body Text Char"/>
    <w:basedOn w:val="DefaultParagraphFont"/>
    <w:link w:val="BodyText"/>
    <w:uiPriority w:val="3"/>
    <w:rsid w:val="00A26939"/>
    <w:rPr>
      <w:sz w:val="24"/>
      <w:szCs w:val="24"/>
      <w:lang w:eastAsia="en-US"/>
    </w:rPr>
  </w:style>
  <w:style w:type="table" w:customStyle="1" w:styleId="PBATableIndented">
    <w:name w:val="PBA Table Indented"/>
    <w:basedOn w:val="TableNormal"/>
    <w:uiPriority w:val="99"/>
    <w:rsid w:val="00C7548B"/>
    <w:pPr>
      <w:jc w:val="center"/>
    </w:pPr>
    <w:rPr>
      <w:rFonts w:ascii="Arial" w:eastAsia="Calibri" w:hAnsi="Arial"/>
      <w:color w:val="191919"/>
      <w:lang w:val="en-US" w:eastAsia="en-US"/>
    </w:rPr>
    <w:tblPr>
      <w:tblStyleRowBandSize w:val="1"/>
      <w:tblStyleColBandSize w:val="1"/>
      <w:tblInd w:w="0" w:type="nil"/>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vAlign w:val="center"/>
    </w:tcPr>
    <w:tblStylePr w:type="firstRow">
      <w:pPr>
        <w:wordWrap/>
        <w:spacing w:beforeLines="0" w:before="100" w:beforeAutospacing="1" w:afterLines="0" w:after="100" w:afterAutospacing="1"/>
        <w:jc w:val="center"/>
      </w:pPr>
      <w:rPr>
        <w:rFonts w:ascii="Arial" w:hAnsi="Arial" w:cs="Arial" w:hint="default"/>
        <w:b w:val="0"/>
        <w:i w:val="0"/>
        <w:color w:val="FFFFFF"/>
        <w:sz w:val="20"/>
        <w:szCs w:val="20"/>
      </w:rPr>
      <w:tblPr/>
      <w:tcPr>
        <w:shd w:val="clear" w:color="auto" w:fill="00334C"/>
      </w:tcPr>
    </w:tblStylePr>
    <w:tblStylePr w:type="band1Vert">
      <w:rPr>
        <w:rFonts w:ascii="Arial" w:hAnsi="Arial" w:cs="Arial" w:hint="default"/>
        <w:color w:val="000000"/>
        <w:sz w:val="20"/>
        <w:szCs w:val="20"/>
      </w:rPr>
    </w:tblStylePr>
  </w:style>
  <w:style w:type="character" w:styleId="CommentReference">
    <w:name w:val="annotation reference"/>
    <w:basedOn w:val="DefaultParagraphFont"/>
    <w:uiPriority w:val="99"/>
    <w:semiHidden/>
    <w:unhideWhenUsed/>
    <w:rsid w:val="004E4938"/>
    <w:rPr>
      <w:sz w:val="16"/>
      <w:szCs w:val="16"/>
    </w:rPr>
  </w:style>
  <w:style w:type="paragraph" w:styleId="CommentText">
    <w:name w:val="annotation text"/>
    <w:basedOn w:val="Normal"/>
    <w:link w:val="CommentTextChar"/>
    <w:unhideWhenUsed/>
    <w:rsid w:val="004E4938"/>
    <w:rPr>
      <w:sz w:val="20"/>
      <w:szCs w:val="20"/>
    </w:rPr>
  </w:style>
  <w:style w:type="character" w:customStyle="1" w:styleId="CommentTextChar">
    <w:name w:val="Comment Text Char"/>
    <w:basedOn w:val="DefaultParagraphFont"/>
    <w:link w:val="CommentText"/>
    <w:rsid w:val="004E4938"/>
    <w:rPr>
      <w:lang w:eastAsia="en-US"/>
    </w:rPr>
  </w:style>
  <w:style w:type="paragraph" w:styleId="CommentSubject">
    <w:name w:val="annotation subject"/>
    <w:basedOn w:val="CommentText"/>
    <w:next w:val="CommentText"/>
    <w:link w:val="CommentSubjectChar"/>
    <w:semiHidden/>
    <w:unhideWhenUsed/>
    <w:rsid w:val="004E4938"/>
    <w:rPr>
      <w:b/>
      <w:bCs/>
    </w:rPr>
  </w:style>
  <w:style w:type="character" w:customStyle="1" w:styleId="CommentSubjectChar">
    <w:name w:val="Comment Subject Char"/>
    <w:basedOn w:val="CommentTextChar"/>
    <w:link w:val="CommentSubject"/>
    <w:semiHidden/>
    <w:rsid w:val="004E4938"/>
    <w:rPr>
      <w:b/>
      <w:bCs/>
      <w:lang w:eastAsia="en-US"/>
    </w:rPr>
  </w:style>
  <w:style w:type="paragraph" w:styleId="BalloonText">
    <w:name w:val="Balloon Text"/>
    <w:basedOn w:val="Normal"/>
    <w:link w:val="BalloonTextChar"/>
    <w:semiHidden/>
    <w:unhideWhenUsed/>
    <w:rsid w:val="004E4938"/>
    <w:rPr>
      <w:rFonts w:ascii="Segoe UI" w:hAnsi="Segoe UI" w:cs="Segoe UI"/>
      <w:sz w:val="18"/>
      <w:szCs w:val="18"/>
    </w:rPr>
  </w:style>
  <w:style w:type="character" w:customStyle="1" w:styleId="BalloonTextChar">
    <w:name w:val="Balloon Text Char"/>
    <w:basedOn w:val="DefaultParagraphFont"/>
    <w:link w:val="BalloonText"/>
    <w:semiHidden/>
    <w:rsid w:val="004E4938"/>
    <w:rPr>
      <w:rFonts w:ascii="Segoe UI" w:hAnsi="Segoe UI" w:cs="Segoe UI"/>
      <w:sz w:val="18"/>
      <w:szCs w:val="18"/>
      <w:lang w:eastAsia="en-US"/>
    </w:rPr>
  </w:style>
  <w:style w:type="character" w:customStyle="1" w:styleId="TableHeadersChar">
    <w:name w:val="Table Headers Char"/>
    <w:link w:val="TableHeaders"/>
    <w:uiPriority w:val="5"/>
    <w:locked/>
    <w:rsid w:val="00F15CC9"/>
    <w:rPr>
      <w:rFonts w:ascii="Arial" w:hAnsi="Arial" w:cs="Arial"/>
      <w:b/>
      <w:color w:val="FFFFFF" w:themeColor="background1"/>
    </w:rPr>
  </w:style>
  <w:style w:type="paragraph" w:customStyle="1" w:styleId="TableHeaders">
    <w:name w:val="Table Headers"/>
    <w:link w:val="TableHeadersChar"/>
    <w:uiPriority w:val="5"/>
    <w:qFormat/>
    <w:rsid w:val="00F15CC9"/>
    <w:pPr>
      <w:spacing w:before="40" w:afterLines="40"/>
      <w:jc w:val="center"/>
    </w:pPr>
    <w:rPr>
      <w:rFonts w:ascii="Arial" w:hAnsi="Arial" w:cs="Arial"/>
      <w:b/>
      <w:color w:val="FFFFFF" w:themeColor="background1"/>
    </w:rPr>
  </w:style>
  <w:style w:type="character" w:customStyle="1" w:styleId="TableTextCharChar">
    <w:name w:val="Table Text Char Char"/>
    <w:basedOn w:val="DefaultParagraphFont"/>
    <w:link w:val="TableText"/>
    <w:uiPriority w:val="5"/>
    <w:locked/>
    <w:rsid w:val="00F15CC9"/>
    <w:rPr>
      <w:rFonts w:ascii="Arial" w:hAnsi="Arial" w:cs="Arial"/>
      <w:color w:val="191919"/>
    </w:rPr>
  </w:style>
  <w:style w:type="paragraph" w:customStyle="1" w:styleId="TableText">
    <w:name w:val="Table Text"/>
    <w:basedOn w:val="TableHeaders"/>
    <w:link w:val="TableTextCharChar"/>
    <w:uiPriority w:val="5"/>
    <w:qFormat/>
    <w:rsid w:val="00F15CC9"/>
    <w:rPr>
      <w:b w:val="0"/>
      <w:color w:val="191919"/>
    </w:rPr>
  </w:style>
  <w:style w:type="paragraph" w:customStyle="1" w:styleId="Bullets-Numeral">
    <w:name w:val="Bullets - Numeral"/>
    <w:basedOn w:val="Bullets-Alpha"/>
    <w:uiPriority w:val="4"/>
    <w:qFormat/>
    <w:rsid w:val="00D40587"/>
    <w:pPr>
      <w:numPr>
        <w:numId w:val="3"/>
      </w:numPr>
      <w:tabs>
        <w:tab w:val="clear" w:pos="1134"/>
      </w:tabs>
    </w:pPr>
  </w:style>
  <w:style w:type="paragraph" w:styleId="Caption">
    <w:name w:val="caption"/>
    <w:basedOn w:val="Normal"/>
    <w:next w:val="Normal"/>
    <w:unhideWhenUsed/>
    <w:qFormat/>
    <w:rsid w:val="00D87D54"/>
    <w:pPr>
      <w:spacing w:after="200"/>
    </w:pPr>
    <w:rPr>
      <w:i/>
      <w:iCs/>
      <w:color w:val="1F497D" w:themeColor="text2"/>
      <w:sz w:val="18"/>
      <w:szCs w:val="18"/>
    </w:rPr>
  </w:style>
  <w:style w:type="paragraph" w:styleId="Revision">
    <w:name w:val="Revision"/>
    <w:hidden/>
    <w:uiPriority w:val="99"/>
    <w:semiHidden/>
    <w:rsid w:val="000F21F4"/>
    <w:rPr>
      <w:sz w:val="24"/>
      <w:szCs w:val="24"/>
      <w:lang w:eastAsia="en-US"/>
    </w:rPr>
  </w:style>
  <w:style w:type="character" w:customStyle="1" w:styleId="TableFootnoteChar">
    <w:name w:val="Table Footnote Char"/>
    <w:basedOn w:val="DefaultParagraphFont"/>
    <w:link w:val="TableFootnote"/>
    <w:uiPriority w:val="99"/>
    <w:locked/>
    <w:rsid w:val="006B6FD2"/>
    <w:rPr>
      <w:rFonts w:ascii="Arial" w:hAnsi="Arial" w:cs="Arial"/>
      <w:color w:val="191919"/>
      <w:sz w:val="18"/>
      <w:szCs w:val="18"/>
    </w:rPr>
  </w:style>
  <w:style w:type="paragraph" w:customStyle="1" w:styleId="TableFootnote">
    <w:name w:val="Table Footnote"/>
    <w:basedOn w:val="Normal"/>
    <w:link w:val="TableFootnoteChar"/>
    <w:uiPriority w:val="99"/>
    <w:qFormat/>
    <w:rsid w:val="006B6FD2"/>
    <w:pPr>
      <w:spacing w:after="240"/>
      <w:ind w:left="720"/>
      <w:contextualSpacing/>
    </w:pPr>
    <w:rPr>
      <w:rFonts w:ascii="Arial" w:hAnsi="Arial" w:cs="Arial"/>
      <w:color w:val="191919"/>
      <w:sz w:val="18"/>
      <w:szCs w:val="18"/>
      <w:lang w:eastAsia="en-GB"/>
    </w:rPr>
  </w:style>
  <w:style w:type="paragraph" w:styleId="NormalWeb">
    <w:name w:val="Normal (Web)"/>
    <w:basedOn w:val="Normal"/>
    <w:uiPriority w:val="99"/>
    <w:semiHidden/>
    <w:unhideWhenUsed/>
    <w:rsid w:val="00155FD4"/>
    <w:pPr>
      <w:spacing w:before="100" w:beforeAutospacing="1" w:after="100" w:afterAutospacing="1"/>
    </w:pPr>
    <w:rPr>
      <w:lang w:eastAsia="en-GB"/>
    </w:rPr>
  </w:style>
  <w:style w:type="table" w:customStyle="1" w:styleId="TableGrid1">
    <w:name w:val="Table Grid1"/>
    <w:basedOn w:val="TableNormal"/>
    <w:next w:val="TableGrid"/>
    <w:rsid w:val="0097565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857D6D"/>
    <w:pPr>
      <w:ind w:left="715"/>
    </w:pPr>
    <w:rPr>
      <w:rFonts w:ascii="Arial" w:eastAsia="Calibri" w:hAnsi="Arial"/>
      <w:i/>
      <w:iCs/>
      <w:color w:val="191919"/>
      <w:sz w:val="20"/>
      <w:szCs w:val="22"/>
    </w:rPr>
  </w:style>
  <w:style w:type="character" w:customStyle="1" w:styleId="QuoteChar">
    <w:name w:val="Quote Char"/>
    <w:basedOn w:val="DefaultParagraphFont"/>
    <w:link w:val="Quote"/>
    <w:uiPriority w:val="29"/>
    <w:rsid w:val="00857D6D"/>
    <w:rPr>
      <w:rFonts w:ascii="Arial" w:eastAsia="Calibri" w:hAnsi="Arial"/>
      <w:i/>
      <w:iCs/>
      <w:color w:val="191919"/>
      <w:szCs w:val="22"/>
      <w:lang w:eastAsia="en-US"/>
    </w:rPr>
  </w:style>
  <w:style w:type="character" w:customStyle="1" w:styleId="FooterChar">
    <w:name w:val="Footer Char"/>
    <w:basedOn w:val="DefaultParagraphFont"/>
    <w:link w:val="Footer"/>
    <w:uiPriority w:val="99"/>
    <w:rsid w:val="002B5A8A"/>
    <w:rPr>
      <w:sz w:val="24"/>
      <w:szCs w:val="24"/>
      <w:lang w:eastAsia="en-US"/>
    </w:rPr>
  </w:style>
  <w:style w:type="character" w:styleId="UnresolvedMention">
    <w:name w:val="Unresolved Mention"/>
    <w:basedOn w:val="DefaultParagraphFont"/>
    <w:uiPriority w:val="99"/>
    <w:semiHidden/>
    <w:unhideWhenUsed/>
    <w:rsid w:val="007C47A8"/>
    <w:rPr>
      <w:color w:val="605E5C"/>
      <w:shd w:val="clear" w:color="auto" w:fill="E1DFDD"/>
    </w:rPr>
  </w:style>
  <w:style w:type="paragraph" w:styleId="FootnoteText">
    <w:name w:val="footnote text"/>
    <w:basedOn w:val="Normal"/>
    <w:link w:val="FootnoteTextChar"/>
    <w:semiHidden/>
    <w:unhideWhenUsed/>
    <w:rsid w:val="00175D37"/>
    <w:rPr>
      <w:sz w:val="20"/>
      <w:szCs w:val="20"/>
    </w:rPr>
  </w:style>
  <w:style w:type="character" w:customStyle="1" w:styleId="FootnoteTextChar">
    <w:name w:val="Footnote Text Char"/>
    <w:basedOn w:val="DefaultParagraphFont"/>
    <w:link w:val="FootnoteText"/>
    <w:semiHidden/>
    <w:rsid w:val="00175D37"/>
    <w:rPr>
      <w:lang w:eastAsia="en-US"/>
    </w:rPr>
  </w:style>
  <w:style w:type="character" w:styleId="FootnoteReference">
    <w:name w:val="footnote reference"/>
    <w:basedOn w:val="DefaultParagraphFont"/>
    <w:semiHidden/>
    <w:unhideWhenUsed/>
    <w:rsid w:val="00175D37"/>
    <w:rPr>
      <w:vertAlign w:val="superscript"/>
    </w:rPr>
  </w:style>
  <w:style w:type="paragraph" w:customStyle="1" w:styleId="Bullet2">
    <w:name w:val="Bullet 2"/>
    <w:basedOn w:val="Normal"/>
    <w:autoRedefine/>
    <w:uiPriority w:val="99"/>
    <w:semiHidden/>
    <w:qFormat/>
    <w:rsid w:val="00DF2D72"/>
    <w:pPr>
      <w:numPr>
        <w:ilvl w:val="1"/>
        <w:numId w:val="5"/>
      </w:numPr>
      <w:spacing w:after="240"/>
      <w:ind w:left="1911" w:hanging="357"/>
    </w:pPr>
    <w:rPr>
      <w:rFonts w:ascii="Arial" w:eastAsia="Calibri" w:hAnsi="Arial"/>
      <w:color w:val="191919"/>
      <w:sz w:val="20"/>
      <w:szCs w:val="22"/>
    </w:rPr>
  </w:style>
  <w:style w:type="paragraph" w:customStyle="1" w:styleId="Tabletextbullet">
    <w:name w:val="Table text bullet"/>
    <w:basedOn w:val="Bullets-Square"/>
    <w:uiPriority w:val="99"/>
    <w:semiHidden/>
    <w:qFormat/>
    <w:rsid w:val="00DF2D72"/>
    <w:pPr>
      <w:numPr>
        <w:numId w:val="5"/>
      </w:numPr>
      <w:spacing w:before="0" w:after="240"/>
    </w:pPr>
    <w:rPr>
      <w:rFonts w:cs="Times New Roman"/>
      <w:lang w:eastAsia="en-US"/>
    </w:rPr>
  </w:style>
  <w:style w:type="paragraph" w:styleId="Title">
    <w:name w:val="Title"/>
    <w:basedOn w:val="Normal"/>
    <w:next w:val="Normal"/>
    <w:link w:val="TitleChar"/>
    <w:qFormat/>
    <w:rsid w:val="00726E1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26E11"/>
    <w:rPr>
      <w:rFonts w:asciiTheme="majorHAnsi" w:eastAsiaTheme="majorEastAsia" w:hAnsiTheme="majorHAnsi" w:cstheme="majorBidi"/>
      <w:spacing w:val="-10"/>
      <w:kern w:val="28"/>
      <w:sz w:val="56"/>
      <w:szCs w:val="56"/>
      <w:lang w:eastAsia="en-US"/>
    </w:rPr>
  </w:style>
  <w:style w:type="character" w:customStyle="1" w:styleId="Heading6Char">
    <w:name w:val="Heading 6 Char"/>
    <w:basedOn w:val="DefaultParagraphFont"/>
    <w:link w:val="Heading6"/>
    <w:semiHidden/>
    <w:rsid w:val="0063563D"/>
    <w:rPr>
      <w:rFonts w:asciiTheme="majorHAnsi" w:eastAsiaTheme="majorEastAsia" w:hAnsiTheme="majorHAnsi" w:cstheme="majorBidi"/>
      <w:color w:val="243F60" w:themeColor="accent1" w:themeShade="7F"/>
      <w:sz w:val="24"/>
      <w:szCs w:val="24"/>
      <w:lang w:eastAsia="en-US"/>
    </w:rPr>
  </w:style>
  <w:style w:type="character" w:styleId="FollowedHyperlink">
    <w:name w:val="FollowedHyperlink"/>
    <w:basedOn w:val="DefaultParagraphFont"/>
    <w:semiHidden/>
    <w:unhideWhenUsed/>
    <w:rsid w:val="007F48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0751">
      <w:bodyDiv w:val="1"/>
      <w:marLeft w:val="0"/>
      <w:marRight w:val="0"/>
      <w:marTop w:val="0"/>
      <w:marBottom w:val="0"/>
      <w:divBdr>
        <w:top w:val="none" w:sz="0" w:space="0" w:color="auto"/>
        <w:left w:val="none" w:sz="0" w:space="0" w:color="auto"/>
        <w:bottom w:val="none" w:sz="0" w:space="0" w:color="auto"/>
        <w:right w:val="none" w:sz="0" w:space="0" w:color="auto"/>
      </w:divBdr>
    </w:div>
    <w:div w:id="310840298">
      <w:bodyDiv w:val="1"/>
      <w:marLeft w:val="0"/>
      <w:marRight w:val="0"/>
      <w:marTop w:val="0"/>
      <w:marBottom w:val="0"/>
      <w:divBdr>
        <w:top w:val="none" w:sz="0" w:space="0" w:color="auto"/>
        <w:left w:val="none" w:sz="0" w:space="0" w:color="auto"/>
        <w:bottom w:val="none" w:sz="0" w:space="0" w:color="auto"/>
        <w:right w:val="none" w:sz="0" w:space="0" w:color="auto"/>
      </w:divBdr>
    </w:div>
    <w:div w:id="477496001">
      <w:bodyDiv w:val="1"/>
      <w:marLeft w:val="0"/>
      <w:marRight w:val="0"/>
      <w:marTop w:val="0"/>
      <w:marBottom w:val="0"/>
      <w:divBdr>
        <w:top w:val="none" w:sz="0" w:space="0" w:color="auto"/>
        <w:left w:val="none" w:sz="0" w:space="0" w:color="auto"/>
        <w:bottom w:val="none" w:sz="0" w:space="0" w:color="auto"/>
        <w:right w:val="none" w:sz="0" w:space="0" w:color="auto"/>
      </w:divBdr>
    </w:div>
    <w:div w:id="502472036">
      <w:bodyDiv w:val="1"/>
      <w:marLeft w:val="0"/>
      <w:marRight w:val="0"/>
      <w:marTop w:val="0"/>
      <w:marBottom w:val="0"/>
      <w:divBdr>
        <w:top w:val="none" w:sz="0" w:space="0" w:color="auto"/>
        <w:left w:val="none" w:sz="0" w:space="0" w:color="auto"/>
        <w:bottom w:val="none" w:sz="0" w:space="0" w:color="auto"/>
        <w:right w:val="none" w:sz="0" w:space="0" w:color="auto"/>
      </w:divBdr>
    </w:div>
    <w:div w:id="628441959">
      <w:bodyDiv w:val="1"/>
      <w:marLeft w:val="0"/>
      <w:marRight w:val="0"/>
      <w:marTop w:val="0"/>
      <w:marBottom w:val="0"/>
      <w:divBdr>
        <w:top w:val="none" w:sz="0" w:space="0" w:color="auto"/>
        <w:left w:val="none" w:sz="0" w:space="0" w:color="auto"/>
        <w:bottom w:val="none" w:sz="0" w:space="0" w:color="auto"/>
        <w:right w:val="none" w:sz="0" w:space="0" w:color="auto"/>
      </w:divBdr>
    </w:div>
    <w:div w:id="749549258">
      <w:bodyDiv w:val="1"/>
      <w:marLeft w:val="0"/>
      <w:marRight w:val="0"/>
      <w:marTop w:val="0"/>
      <w:marBottom w:val="0"/>
      <w:divBdr>
        <w:top w:val="none" w:sz="0" w:space="0" w:color="auto"/>
        <w:left w:val="none" w:sz="0" w:space="0" w:color="auto"/>
        <w:bottom w:val="none" w:sz="0" w:space="0" w:color="auto"/>
        <w:right w:val="none" w:sz="0" w:space="0" w:color="auto"/>
      </w:divBdr>
    </w:div>
    <w:div w:id="794982939">
      <w:bodyDiv w:val="1"/>
      <w:marLeft w:val="0"/>
      <w:marRight w:val="0"/>
      <w:marTop w:val="0"/>
      <w:marBottom w:val="0"/>
      <w:divBdr>
        <w:top w:val="none" w:sz="0" w:space="0" w:color="auto"/>
        <w:left w:val="none" w:sz="0" w:space="0" w:color="auto"/>
        <w:bottom w:val="none" w:sz="0" w:space="0" w:color="auto"/>
        <w:right w:val="none" w:sz="0" w:space="0" w:color="auto"/>
      </w:divBdr>
    </w:div>
    <w:div w:id="823008716">
      <w:bodyDiv w:val="1"/>
      <w:marLeft w:val="0"/>
      <w:marRight w:val="0"/>
      <w:marTop w:val="0"/>
      <w:marBottom w:val="0"/>
      <w:divBdr>
        <w:top w:val="none" w:sz="0" w:space="0" w:color="auto"/>
        <w:left w:val="none" w:sz="0" w:space="0" w:color="auto"/>
        <w:bottom w:val="none" w:sz="0" w:space="0" w:color="auto"/>
        <w:right w:val="none" w:sz="0" w:space="0" w:color="auto"/>
      </w:divBdr>
    </w:div>
    <w:div w:id="963803643">
      <w:bodyDiv w:val="1"/>
      <w:marLeft w:val="0"/>
      <w:marRight w:val="0"/>
      <w:marTop w:val="0"/>
      <w:marBottom w:val="0"/>
      <w:divBdr>
        <w:top w:val="none" w:sz="0" w:space="0" w:color="auto"/>
        <w:left w:val="none" w:sz="0" w:space="0" w:color="auto"/>
        <w:bottom w:val="none" w:sz="0" w:space="0" w:color="auto"/>
        <w:right w:val="none" w:sz="0" w:space="0" w:color="auto"/>
      </w:divBdr>
    </w:div>
    <w:div w:id="1020085920">
      <w:bodyDiv w:val="1"/>
      <w:marLeft w:val="0"/>
      <w:marRight w:val="0"/>
      <w:marTop w:val="0"/>
      <w:marBottom w:val="0"/>
      <w:divBdr>
        <w:top w:val="none" w:sz="0" w:space="0" w:color="auto"/>
        <w:left w:val="none" w:sz="0" w:space="0" w:color="auto"/>
        <w:bottom w:val="none" w:sz="0" w:space="0" w:color="auto"/>
        <w:right w:val="none" w:sz="0" w:space="0" w:color="auto"/>
      </w:divBdr>
    </w:div>
    <w:div w:id="1167864682">
      <w:bodyDiv w:val="1"/>
      <w:marLeft w:val="0"/>
      <w:marRight w:val="0"/>
      <w:marTop w:val="0"/>
      <w:marBottom w:val="0"/>
      <w:divBdr>
        <w:top w:val="none" w:sz="0" w:space="0" w:color="auto"/>
        <w:left w:val="none" w:sz="0" w:space="0" w:color="auto"/>
        <w:bottom w:val="none" w:sz="0" w:space="0" w:color="auto"/>
        <w:right w:val="none" w:sz="0" w:space="0" w:color="auto"/>
      </w:divBdr>
    </w:div>
    <w:div w:id="1189946600">
      <w:bodyDiv w:val="1"/>
      <w:marLeft w:val="0"/>
      <w:marRight w:val="0"/>
      <w:marTop w:val="0"/>
      <w:marBottom w:val="0"/>
      <w:divBdr>
        <w:top w:val="none" w:sz="0" w:space="0" w:color="auto"/>
        <w:left w:val="none" w:sz="0" w:space="0" w:color="auto"/>
        <w:bottom w:val="none" w:sz="0" w:space="0" w:color="auto"/>
        <w:right w:val="none" w:sz="0" w:space="0" w:color="auto"/>
      </w:divBdr>
    </w:div>
    <w:div w:id="1268657429">
      <w:bodyDiv w:val="1"/>
      <w:marLeft w:val="0"/>
      <w:marRight w:val="0"/>
      <w:marTop w:val="0"/>
      <w:marBottom w:val="0"/>
      <w:divBdr>
        <w:top w:val="none" w:sz="0" w:space="0" w:color="auto"/>
        <w:left w:val="none" w:sz="0" w:space="0" w:color="auto"/>
        <w:bottom w:val="none" w:sz="0" w:space="0" w:color="auto"/>
        <w:right w:val="none" w:sz="0" w:space="0" w:color="auto"/>
      </w:divBdr>
    </w:div>
    <w:div w:id="1310283369">
      <w:bodyDiv w:val="1"/>
      <w:marLeft w:val="0"/>
      <w:marRight w:val="0"/>
      <w:marTop w:val="0"/>
      <w:marBottom w:val="0"/>
      <w:divBdr>
        <w:top w:val="none" w:sz="0" w:space="0" w:color="auto"/>
        <w:left w:val="none" w:sz="0" w:space="0" w:color="auto"/>
        <w:bottom w:val="none" w:sz="0" w:space="0" w:color="auto"/>
        <w:right w:val="none" w:sz="0" w:space="0" w:color="auto"/>
      </w:divBdr>
    </w:div>
    <w:div w:id="1344820935">
      <w:bodyDiv w:val="1"/>
      <w:marLeft w:val="0"/>
      <w:marRight w:val="0"/>
      <w:marTop w:val="0"/>
      <w:marBottom w:val="0"/>
      <w:divBdr>
        <w:top w:val="none" w:sz="0" w:space="0" w:color="auto"/>
        <w:left w:val="none" w:sz="0" w:space="0" w:color="auto"/>
        <w:bottom w:val="none" w:sz="0" w:space="0" w:color="auto"/>
        <w:right w:val="none" w:sz="0" w:space="0" w:color="auto"/>
      </w:divBdr>
    </w:div>
    <w:div w:id="1347631634">
      <w:bodyDiv w:val="1"/>
      <w:marLeft w:val="0"/>
      <w:marRight w:val="0"/>
      <w:marTop w:val="0"/>
      <w:marBottom w:val="0"/>
      <w:divBdr>
        <w:top w:val="none" w:sz="0" w:space="0" w:color="auto"/>
        <w:left w:val="none" w:sz="0" w:space="0" w:color="auto"/>
        <w:bottom w:val="none" w:sz="0" w:space="0" w:color="auto"/>
        <w:right w:val="none" w:sz="0" w:space="0" w:color="auto"/>
      </w:divBdr>
    </w:div>
    <w:div w:id="1594581398">
      <w:bodyDiv w:val="1"/>
      <w:marLeft w:val="0"/>
      <w:marRight w:val="0"/>
      <w:marTop w:val="0"/>
      <w:marBottom w:val="0"/>
      <w:divBdr>
        <w:top w:val="none" w:sz="0" w:space="0" w:color="auto"/>
        <w:left w:val="none" w:sz="0" w:space="0" w:color="auto"/>
        <w:bottom w:val="none" w:sz="0" w:space="0" w:color="auto"/>
        <w:right w:val="none" w:sz="0" w:space="0" w:color="auto"/>
      </w:divBdr>
    </w:div>
    <w:div w:id="1690594920">
      <w:bodyDiv w:val="1"/>
      <w:marLeft w:val="0"/>
      <w:marRight w:val="0"/>
      <w:marTop w:val="0"/>
      <w:marBottom w:val="0"/>
      <w:divBdr>
        <w:top w:val="none" w:sz="0" w:space="0" w:color="auto"/>
        <w:left w:val="none" w:sz="0" w:space="0" w:color="auto"/>
        <w:bottom w:val="none" w:sz="0" w:space="0" w:color="auto"/>
        <w:right w:val="none" w:sz="0" w:space="0" w:color="auto"/>
      </w:divBdr>
    </w:div>
    <w:div w:id="1763604288">
      <w:bodyDiv w:val="1"/>
      <w:marLeft w:val="0"/>
      <w:marRight w:val="0"/>
      <w:marTop w:val="0"/>
      <w:marBottom w:val="0"/>
      <w:divBdr>
        <w:top w:val="none" w:sz="0" w:space="0" w:color="auto"/>
        <w:left w:val="none" w:sz="0" w:space="0" w:color="auto"/>
        <w:bottom w:val="none" w:sz="0" w:space="0" w:color="auto"/>
        <w:right w:val="none" w:sz="0" w:space="0" w:color="auto"/>
      </w:divBdr>
    </w:div>
    <w:div w:id="1914927185">
      <w:bodyDiv w:val="1"/>
      <w:marLeft w:val="0"/>
      <w:marRight w:val="0"/>
      <w:marTop w:val="0"/>
      <w:marBottom w:val="0"/>
      <w:divBdr>
        <w:top w:val="none" w:sz="0" w:space="0" w:color="auto"/>
        <w:left w:val="none" w:sz="0" w:space="0" w:color="auto"/>
        <w:bottom w:val="none" w:sz="0" w:space="0" w:color="auto"/>
        <w:right w:val="none" w:sz="0" w:space="0" w:color="auto"/>
      </w:divBdr>
    </w:div>
    <w:div w:id="197329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planning.hillingdon.gov.uk/OcellaWeb/planningDetails?reference=1331/APP/2019/2314&amp;from=planningSea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eal\AppData\Roaming\Microsoft\Templates\Technical%20Note%20-%20No%20Ta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C218839D4FAB47870BB43519785925" ma:contentTypeVersion="15" ma:contentTypeDescription="Create a new document." ma:contentTypeScope="" ma:versionID="f3df3ce72e43046c5ae86609e6341ae2">
  <xsd:schema xmlns:xsd="http://www.w3.org/2001/XMLSchema" xmlns:xs="http://www.w3.org/2001/XMLSchema" xmlns:p="http://schemas.microsoft.com/office/2006/metadata/properties" xmlns:ns2="46023d0c-9043-43e1-b4b5-72aa6cb44cde" xmlns:ns3="51a55949-ec89-43ab-95ee-b5f633cc3286" targetNamespace="http://schemas.microsoft.com/office/2006/metadata/properties" ma:root="true" ma:fieldsID="cd1cd8cc198841dec69a15df93df9e83" ns2:_="" ns3:_="">
    <xsd:import namespace="46023d0c-9043-43e1-b4b5-72aa6cb44cde"/>
    <xsd:import namespace="51a55949-ec89-43ab-95ee-b5f633cc32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23d0c-9043-43e1-b4b5-72aa6cb44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a55949-ec89-43ab-95ee-b5f633cc328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5D22A9-27B9-49FF-A5A6-E55E96496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23d0c-9043-43e1-b4b5-72aa6cb44cde"/>
    <ds:schemaRef ds:uri="51a55949-ec89-43ab-95ee-b5f633cc3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175C04-4F8D-41D3-9135-AE57ABB71B09}">
  <ds:schemaRefs>
    <ds:schemaRef ds:uri="http://schemas.microsoft.com/sharepoint/v3/contenttype/forms"/>
  </ds:schemaRefs>
</ds:datastoreItem>
</file>

<file path=customXml/itemProps3.xml><?xml version="1.0" encoding="utf-8"?>
<ds:datastoreItem xmlns:ds="http://schemas.openxmlformats.org/officeDocument/2006/customXml" ds:itemID="{1FDF39A7-F691-492A-AE5B-2E2CE1ACBF3F}">
  <ds:schemaRefs>
    <ds:schemaRef ds:uri="http://schemas.openxmlformats.org/officeDocument/2006/bibliography"/>
  </ds:schemaRefs>
</ds:datastoreItem>
</file>

<file path=customXml/itemProps4.xml><?xml version="1.0" encoding="utf-8"?>
<ds:datastoreItem xmlns:ds="http://schemas.openxmlformats.org/officeDocument/2006/customXml" ds:itemID="{68C2C786-BA9B-4A8F-AF68-84BCBBA276A9}">
  <ds:schemaRef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51a55949-ec89-43ab-95ee-b5f633cc3286"/>
    <ds:schemaRef ds:uri="46023d0c-9043-43e1-b4b5-72aa6cb44cd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Technical Note - No Table.dotm</Template>
  <TotalTime>0</TotalTime>
  <Pages>5</Pages>
  <Words>1609</Words>
  <Characters>9069</Characters>
  <Application>Microsoft Office Word</Application>
  <DocSecurity>0</DocSecurity>
  <Lines>181</Lines>
  <Paragraphs>110</Paragraphs>
  <ScaleCrop>false</ScaleCrop>
  <HeadingPairs>
    <vt:vector size="2" baseType="variant">
      <vt:variant>
        <vt:lpstr>Title</vt:lpstr>
      </vt:variant>
      <vt:variant>
        <vt:i4>1</vt:i4>
      </vt:variant>
    </vt:vector>
  </HeadingPairs>
  <TitlesOfParts>
    <vt:vector size="1" baseType="lpstr">
      <vt:lpstr>Meeting Title:</vt:lpstr>
    </vt:vector>
  </TitlesOfParts>
  <Company>Peter Brett Associates</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Title:</dc:title>
  <dc:creator>Jameson Musyoki</dc:creator>
  <cp:lastModifiedBy>Brownlie, Christopher</cp:lastModifiedBy>
  <cp:revision>2</cp:revision>
  <cp:lastPrinted>2022-05-04T10:26:00Z</cp:lastPrinted>
  <dcterms:created xsi:type="dcterms:W3CDTF">2022-12-12T16:12:00Z</dcterms:created>
  <dcterms:modified xsi:type="dcterms:W3CDTF">2022-12-12T16:12:00Z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0x010100FAC218839D4FAB47870BB43519785925</vt:lpwstr>
  </property>
</Properties>
</file>