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57C61" w14:textId="303417BC" w:rsidR="00716F25" w:rsidRPr="001236F5" w:rsidRDefault="001236F5" w:rsidP="001236F5">
      <w:pPr>
        <w:pStyle w:val="NoSpacing"/>
        <w:jc w:val="center"/>
        <w:rPr>
          <w:b/>
          <w:bCs/>
          <w:sz w:val="36"/>
          <w:szCs w:val="36"/>
        </w:rPr>
      </w:pPr>
      <w:r w:rsidRPr="001236F5">
        <w:rPr>
          <w:b/>
          <w:bCs/>
          <w:sz w:val="36"/>
          <w:szCs w:val="36"/>
        </w:rPr>
        <w:t>APPEAL STATEMENT</w:t>
      </w:r>
    </w:p>
    <w:p w14:paraId="597F603C" w14:textId="4C3D6BB1" w:rsidR="001236F5" w:rsidRPr="001236F5" w:rsidRDefault="001236F5" w:rsidP="001236F5">
      <w:pPr>
        <w:pStyle w:val="NoSpacing"/>
        <w:jc w:val="center"/>
        <w:rPr>
          <w:b/>
          <w:bCs/>
          <w:sz w:val="36"/>
          <w:szCs w:val="36"/>
        </w:rPr>
      </w:pPr>
      <w:r w:rsidRPr="001236F5">
        <w:rPr>
          <w:b/>
          <w:bCs/>
          <w:sz w:val="36"/>
          <w:szCs w:val="36"/>
        </w:rPr>
        <w:t>61 GADE CLOSE</w:t>
      </w:r>
    </w:p>
    <w:p w14:paraId="6B594B81" w14:textId="5CCF3743" w:rsidR="001236F5" w:rsidRPr="001236F5" w:rsidRDefault="001236F5" w:rsidP="001236F5">
      <w:pPr>
        <w:pStyle w:val="NoSpacing"/>
        <w:jc w:val="center"/>
        <w:rPr>
          <w:b/>
          <w:bCs/>
          <w:sz w:val="36"/>
          <w:szCs w:val="36"/>
        </w:rPr>
      </w:pPr>
      <w:r w:rsidRPr="001236F5">
        <w:rPr>
          <w:b/>
          <w:bCs/>
          <w:sz w:val="36"/>
          <w:szCs w:val="36"/>
        </w:rPr>
        <w:t>HAYES</w:t>
      </w:r>
    </w:p>
    <w:p w14:paraId="6A4DBA15" w14:textId="118BCF75" w:rsidR="001236F5" w:rsidRPr="001236F5" w:rsidRDefault="001236F5" w:rsidP="001236F5">
      <w:pPr>
        <w:pStyle w:val="NoSpacing"/>
        <w:jc w:val="center"/>
        <w:rPr>
          <w:b/>
          <w:bCs/>
          <w:sz w:val="36"/>
          <w:szCs w:val="36"/>
        </w:rPr>
      </w:pPr>
      <w:r w:rsidRPr="001236F5">
        <w:rPr>
          <w:b/>
          <w:bCs/>
          <w:sz w:val="36"/>
          <w:szCs w:val="36"/>
        </w:rPr>
        <w:t>MIDDX</w:t>
      </w:r>
    </w:p>
    <w:p w14:paraId="3BA2702E" w14:textId="792BCDAB" w:rsidR="001236F5" w:rsidRDefault="001236F5" w:rsidP="001236F5">
      <w:pPr>
        <w:pStyle w:val="NoSpacing"/>
        <w:jc w:val="center"/>
        <w:rPr>
          <w:b/>
          <w:bCs/>
          <w:sz w:val="36"/>
          <w:szCs w:val="36"/>
        </w:rPr>
      </w:pPr>
      <w:r w:rsidRPr="001236F5">
        <w:rPr>
          <w:b/>
          <w:bCs/>
          <w:sz w:val="36"/>
          <w:szCs w:val="36"/>
        </w:rPr>
        <w:t>UB3 3PY</w:t>
      </w:r>
    </w:p>
    <w:p w14:paraId="207E2025" w14:textId="21A3EB35" w:rsidR="001236F5" w:rsidRDefault="001236F5" w:rsidP="001236F5">
      <w:pPr>
        <w:pStyle w:val="NoSpacing"/>
        <w:jc w:val="both"/>
        <w:rPr>
          <w:b/>
          <w:bCs/>
          <w:sz w:val="36"/>
          <w:szCs w:val="36"/>
        </w:rPr>
      </w:pPr>
    </w:p>
    <w:p w14:paraId="288319D6" w14:textId="5C0161AE" w:rsidR="001236F5" w:rsidRDefault="001236F5" w:rsidP="001236F5">
      <w:pPr>
        <w:pStyle w:val="NoSpacing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Planning Reference : 52072/APP/2021/3398</w:t>
      </w:r>
    </w:p>
    <w:p w14:paraId="3C0D3A03" w14:textId="62774AD9" w:rsidR="001236F5" w:rsidRDefault="001236F5" w:rsidP="001236F5">
      <w:pPr>
        <w:pStyle w:val="NoSpacing"/>
        <w:jc w:val="both"/>
        <w:rPr>
          <w:b/>
          <w:bCs/>
          <w:sz w:val="36"/>
          <w:szCs w:val="36"/>
        </w:rPr>
      </w:pPr>
    </w:p>
    <w:p w14:paraId="157F44CC" w14:textId="5653142D" w:rsidR="001236F5" w:rsidRPr="00494C5A" w:rsidRDefault="001236F5" w:rsidP="001236F5">
      <w:pPr>
        <w:pStyle w:val="NoSpacing"/>
        <w:jc w:val="both"/>
        <w:rPr>
          <w:sz w:val="24"/>
          <w:szCs w:val="24"/>
        </w:rPr>
      </w:pPr>
      <w:r w:rsidRPr="00494C5A">
        <w:rPr>
          <w:sz w:val="24"/>
          <w:szCs w:val="24"/>
        </w:rPr>
        <w:t xml:space="preserve">The LPA only gives one reason for refusal of this application and covers the usual phrases as it being </w:t>
      </w:r>
      <w:r w:rsidR="00B31E5F" w:rsidRPr="00494C5A">
        <w:rPr>
          <w:sz w:val="24"/>
          <w:szCs w:val="24"/>
        </w:rPr>
        <w:t>e</w:t>
      </w:r>
      <w:r w:rsidRPr="00494C5A">
        <w:rPr>
          <w:sz w:val="24"/>
          <w:szCs w:val="24"/>
        </w:rPr>
        <w:t>xcessive scale, bulk and design</w:t>
      </w:r>
      <w:r w:rsidR="009A5008" w:rsidRPr="00494C5A">
        <w:rPr>
          <w:sz w:val="24"/>
          <w:szCs w:val="24"/>
        </w:rPr>
        <w:t xml:space="preserve"> and </w:t>
      </w:r>
      <w:r w:rsidR="00B31E5F" w:rsidRPr="00494C5A">
        <w:rPr>
          <w:sz w:val="24"/>
          <w:szCs w:val="24"/>
        </w:rPr>
        <w:t xml:space="preserve">would appear </w:t>
      </w:r>
      <w:r w:rsidR="009A5008" w:rsidRPr="00494C5A">
        <w:rPr>
          <w:sz w:val="24"/>
          <w:szCs w:val="24"/>
        </w:rPr>
        <w:t>disproportionate to the original dwelling failing to harmonise with the architectural composition of the original property and detrimental to the street scene.</w:t>
      </w:r>
    </w:p>
    <w:p w14:paraId="4CC466C9" w14:textId="25A7FD7F" w:rsidR="009A5008" w:rsidRPr="00494C5A" w:rsidRDefault="009A5008" w:rsidP="001236F5">
      <w:pPr>
        <w:pStyle w:val="NoSpacing"/>
        <w:jc w:val="both"/>
        <w:rPr>
          <w:sz w:val="24"/>
          <w:szCs w:val="24"/>
        </w:rPr>
      </w:pPr>
    </w:p>
    <w:p w14:paraId="38B4A7C3" w14:textId="09142FE6" w:rsidR="009A5008" w:rsidRPr="00494C5A" w:rsidRDefault="009A5008" w:rsidP="001236F5">
      <w:pPr>
        <w:pStyle w:val="NoSpacing"/>
        <w:jc w:val="both"/>
        <w:rPr>
          <w:sz w:val="24"/>
          <w:szCs w:val="24"/>
        </w:rPr>
      </w:pPr>
      <w:r w:rsidRPr="00494C5A">
        <w:rPr>
          <w:sz w:val="24"/>
          <w:szCs w:val="24"/>
        </w:rPr>
        <w:t>What is important is that the</w:t>
      </w:r>
      <w:r w:rsidR="006710CC" w:rsidRPr="00494C5A">
        <w:rPr>
          <w:sz w:val="24"/>
          <w:szCs w:val="24"/>
        </w:rPr>
        <w:t xml:space="preserve"> LPA says:</w:t>
      </w:r>
      <w:r w:rsidRPr="00494C5A">
        <w:rPr>
          <w:sz w:val="24"/>
          <w:szCs w:val="24"/>
        </w:rPr>
        <w:t xml:space="preserve"> </w:t>
      </w:r>
    </w:p>
    <w:p w14:paraId="5EA5CB6E" w14:textId="77777777" w:rsidR="009A5008" w:rsidRPr="00494C5A" w:rsidRDefault="009A5008" w:rsidP="001236F5">
      <w:pPr>
        <w:pStyle w:val="NoSpacing"/>
        <w:jc w:val="both"/>
        <w:rPr>
          <w:sz w:val="24"/>
          <w:szCs w:val="24"/>
        </w:rPr>
      </w:pPr>
    </w:p>
    <w:p w14:paraId="43627E88" w14:textId="2AD67A14" w:rsidR="009A5008" w:rsidRPr="00494C5A" w:rsidRDefault="009A5008" w:rsidP="009A5008">
      <w:pPr>
        <w:pStyle w:val="NoSpacing"/>
        <w:ind w:left="720"/>
        <w:jc w:val="both"/>
        <w:rPr>
          <w:i/>
          <w:iCs/>
          <w:sz w:val="24"/>
          <w:szCs w:val="24"/>
        </w:rPr>
      </w:pPr>
      <w:r w:rsidRPr="00494C5A">
        <w:rPr>
          <w:i/>
          <w:iCs/>
          <w:sz w:val="24"/>
          <w:szCs w:val="24"/>
        </w:rPr>
        <w:t>‘The pro</w:t>
      </w:r>
      <w:r w:rsidR="006710CC" w:rsidRPr="00494C5A">
        <w:rPr>
          <w:i/>
          <w:iCs/>
          <w:sz w:val="24"/>
          <w:szCs w:val="24"/>
        </w:rPr>
        <w:t>po</w:t>
      </w:r>
      <w:r w:rsidRPr="00494C5A">
        <w:rPr>
          <w:i/>
          <w:iCs/>
          <w:sz w:val="24"/>
          <w:szCs w:val="24"/>
        </w:rPr>
        <w:t>sed use as an annexe would also not be acceptable as the annexe could be easily adapted to a fully self-contained unit</w:t>
      </w:r>
      <w:r w:rsidR="006710CC" w:rsidRPr="00494C5A">
        <w:rPr>
          <w:i/>
          <w:iCs/>
          <w:sz w:val="24"/>
          <w:szCs w:val="24"/>
        </w:rPr>
        <w:t>.</w:t>
      </w:r>
      <w:r w:rsidRPr="00494C5A">
        <w:rPr>
          <w:i/>
          <w:iCs/>
          <w:sz w:val="24"/>
          <w:szCs w:val="24"/>
        </w:rPr>
        <w:t>’</w:t>
      </w:r>
    </w:p>
    <w:p w14:paraId="7EB48BFA" w14:textId="6F6AF45F" w:rsidR="009A5008" w:rsidRPr="00494C5A" w:rsidRDefault="009A5008" w:rsidP="009A5008">
      <w:pPr>
        <w:pStyle w:val="NoSpacing"/>
        <w:jc w:val="both"/>
        <w:rPr>
          <w:sz w:val="24"/>
          <w:szCs w:val="24"/>
        </w:rPr>
      </w:pPr>
    </w:p>
    <w:p w14:paraId="710789AB" w14:textId="23E30BCF" w:rsidR="009D6A80" w:rsidRPr="00494C5A" w:rsidRDefault="009A5008" w:rsidP="009A5008">
      <w:pPr>
        <w:pStyle w:val="NoSpacing"/>
        <w:ind w:left="720" w:hanging="720"/>
        <w:jc w:val="both"/>
        <w:rPr>
          <w:sz w:val="24"/>
          <w:szCs w:val="24"/>
        </w:rPr>
      </w:pPr>
      <w:r w:rsidRPr="00494C5A">
        <w:rPr>
          <w:sz w:val="24"/>
          <w:szCs w:val="24"/>
        </w:rPr>
        <w:t>This is truly an unfair statement as one cannot legislate for what ‘might happen’</w:t>
      </w:r>
      <w:r w:rsidR="00B31E5F" w:rsidRPr="00494C5A">
        <w:rPr>
          <w:sz w:val="24"/>
          <w:szCs w:val="24"/>
        </w:rPr>
        <w:t>.</w:t>
      </w:r>
      <w:r w:rsidR="009D6A80" w:rsidRPr="00494C5A">
        <w:rPr>
          <w:sz w:val="24"/>
          <w:szCs w:val="24"/>
        </w:rPr>
        <w:t xml:space="preserve"> </w:t>
      </w:r>
    </w:p>
    <w:p w14:paraId="5848D6FE" w14:textId="77777777" w:rsidR="009D6A80" w:rsidRPr="00494C5A" w:rsidRDefault="009D6A80" w:rsidP="009A5008">
      <w:pPr>
        <w:pStyle w:val="NoSpacing"/>
        <w:ind w:left="720" w:hanging="720"/>
        <w:jc w:val="both"/>
        <w:rPr>
          <w:sz w:val="24"/>
          <w:szCs w:val="24"/>
        </w:rPr>
      </w:pPr>
    </w:p>
    <w:p w14:paraId="752DD8C5" w14:textId="5DD21A71" w:rsidR="009A5008" w:rsidRPr="00494C5A" w:rsidRDefault="009D6A80" w:rsidP="009D6A80">
      <w:pPr>
        <w:pStyle w:val="NoSpacing"/>
        <w:ind w:left="720"/>
        <w:jc w:val="both"/>
        <w:rPr>
          <w:sz w:val="24"/>
          <w:szCs w:val="24"/>
        </w:rPr>
      </w:pPr>
      <w:r w:rsidRPr="00494C5A">
        <w:rPr>
          <w:sz w:val="24"/>
          <w:szCs w:val="24"/>
        </w:rPr>
        <w:t xml:space="preserve">Such a comment could be applied to many other schemes and notwithstanding that if such was to be considered </w:t>
      </w:r>
      <w:r w:rsidR="00494C5A" w:rsidRPr="00494C5A">
        <w:rPr>
          <w:sz w:val="24"/>
          <w:szCs w:val="24"/>
        </w:rPr>
        <w:t xml:space="preserve">as a change of use application </w:t>
      </w:r>
      <w:r w:rsidRPr="00494C5A">
        <w:rPr>
          <w:sz w:val="24"/>
          <w:szCs w:val="24"/>
        </w:rPr>
        <w:t xml:space="preserve">it would need planning approval </w:t>
      </w:r>
      <w:r w:rsidR="00494C5A" w:rsidRPr="00494C5A">
        <w:rPr>
          <w:sz w:val="24"/>
          <w:szCs w:val="24"/>
        </w:rPr>
        <w:t>in any event and thus the LPA would still retain ‘control’.</w:t>
      </w:r>
    </w:p>
    <w:p w14:paraId="02129023" w14:textId="1D3037B4" w:rsidR="009A5008" w:rsidRPr="00494C5A" w:rsidRDefault="009A5008" w:rsidP="009A5008">
      <w:pPr>
        <w:pStyle w:val="NoSpacing"/>
        <w:ind w:left="720" w:hanging="720"/>
        <w:jc w:val="both"/>
        <w:rPr>
          <w:sz w:val="24"/>
          <w:szCs w:val="24"/>
        </w:rPr>
      </w:pPr>
    </w:p>
    <w:p w14:paraId="5DD5B594" w14:textId="488A0158" w:rsidR="009A5008" w:rsidRPr="00494C5A" w:rsidRDefault="009A5008" w:rsidP="00B31E5F">
      <w:pPr>
        <w:pStyle w:val="NoSpacing"/>
        <w:ind w:left="720"/>
        <w:jc w:val="both"/>
        <w:rPr>
          <w:sz w:val="24"/>
          <w:szCs w:val="24"/>
        </w:rPr>
      </w:pPr>
      <w:r w:rsidRPr="00494C5A">
        <w:rPr>
          <w:sz w:val="24"/>
          <w:szCs w:val="24"/>
        </w:rPr>
        <w:t>The fact is that the owner wishes to live in the house himself and has a disabled</w:t>
      </w:r>
      <w:r w:rsidR="00B31E5F" w:rsidRPr="00494C5A">
        <w:rPr>
          <w:sz w:val="24"/>
          <w:szCs w:val="24"/>
        </w:rPr>
        <w:t xml:space="preserve"> </w:t>
      </w:r>
      <w:r w:rsidRPr="00494C5A">
        <w:rPr>
          <w:sz w:val="24"/>
          <w:szCs w:val="24"/>
        </w:rPr>
        <w:t>sister whom he needs to care for</w:t>
      </w:r>
      <w:r w:rsidR="00B31E5F" w:rsidRPr="00494C5A">
        <w:rPr>
          <w:sz w:val="24"/>
          <w:szCs w:val="24"/>
        </w:rPr>
        <w:t xml:space="preserve"> and as such the requirement for the annexe is very genuine.</w:t>
      </w:r>
      <w:r w:rsidR="009D6A80" w:rsidRPr="00494C5A">
        <w:rPr>
          <w:sz w:val="24"/>
          <w:szCs w:val="24"/>
        </w:rPr>
        <w:t xml:space="preserve"> Notwithstanding that there is great need for such home care facilities, which fortunately this property can provide.</w:t>
      </w:r>
    </w:p>
    <w:p w14:paraId="341E50F8" w14:textId="0A14F6B7" w:rsidR="00B31E5F" w:rsidRPr="00494C5A" w:rsidRDefault="00B31E5F" w:rsidP="00B31E5F">
      <w:pPr>
        <w:pStyle w:val="NoSpacing"/>
        <w:jc w:val="both"/>
        <w:rPr>
          <w:sz w:val="24"/>
          <w:szCs w:val="24"/>
        </w:rPr>
      </w:pPr>
    </w:p>
    <w:p w14:paraId="42463098" w14:textId="5FEE9443" w:rsidR="00B31E5F" w:rsidRPr="00494C5A" w:rsidRDefault="00B31E5F" w:rsidP="00B31E5F">
      <w:pPr>
        <w:pStyle w:val="NoSpacing"/>
        <w:jc w:val="both"/>
        <w:rPr>
          <w:sz w:val="24"/>
          <w:szCs w:val="24"/>
        </w:rPr>
      </w:pPr>
      <w:r w:rsidRPr="00494C5A">
        <w:rPr>
          <w:sz w:val="24"/>
          <w:szCs w:val="24"/>
        </w:rPr>
        <w:t xml:space="preserve">As to the general comments of scale, bulk, design and the street scene being affected is </w:t>
      </w:r>
      <w:r w:rsidR="006710CC" w:rsidRPr="00494C5A">
        <w:rPr>
          <w:sz w:val="24"/>
          <w:szCs w:val="24"/>
        </w:rPr>
        <w:t>simply unjust as the Inspector will note at the time of the site visit.</w:t>
      </w:r>
    </w:p>
    <w:p w14:paraId="5EBACA7F" w14:textId="3EF74327" w:rsidR="006710CC" w:rsidRPr="00494C5A" w:rsidRDefault="006710CC" w:rsidP="00B31E5F">
      <w:pPr>
        <w:pStyle w:val="NoSpacing"/>
        <w:jc w:val="both"/>
        <w:rPr>
          <w:sz w:val="24"/>
          <w:szCs w:val="24"/>
        </w:rPr>
      </w:pPr>
    </w:p>
    <w:p w14:paraId="02D1009F" w14:textId="604D3FC2" w:rsidR="006710CC" w:rsidRPr="00494C5A" w:rsidRDefault="006710CC" w:rsidP="00B31E5F">
      <w:pPr>
        <w:pStyle w:val="NoSpacing"/>
        <w:jc w:val="both"/>
        <w:rPr>
          <w:sz w:val="24"/>
          <w:szCs w:val="24"/>
        </w:rPr>
      </w:pPr>
      <w:r w:rsidRPr="00494C5A">
        <w:rPr>
          <w:sz w:val="24"/>
          <w:szCs w:val="24"/>
        </w:rPr>
        <w:t>It is therefore with respect that the Inspector grants permission for this much needed ‘granny annexe’ extension to the house</w:t>
      </w:r>
      <w:r w:rsidR="009D6A80" w:rsidRPr="00494C5A">
        <w:rPr>
          <w:sz w:val="24"/>
          <w:szCs w:val="24"/>
        </w:rPr>
        <w:t>, given that the LPA have not given sufficient valid reasons for the application to be refused.</w:t>
      </w:r>
    </w:p>
    <w:p w14:paraId="0BF08B2C" w14:textId="1DFDDF3C" w:rsidR="006710CC" w:rsidRDefault="006710CC" w:rsidP="00B31E5F">
      <w:pPr>
        <w:pStyle w:val="NoSpacing"/>
        <w:jc w:val="both"/>
        <w:rPr>
          <w:sz w:val="24"/>
          <w:szCs w:val="24"/>
        </w:rPr>
      </w:pPr>
    </w:p>
    <w:p w14:paraId="2F69CDD3" w14:textId="0909E701" w:rsidR="00494C5A" w:rsidRDefault="00494C5A" w:rsidP="00B31E5F">
      <w:pPr>
        <w:pStyle w:val="NoSpacing"/>
        <w:jc w:val="both"/>
        <w:rPr>
          <w:sz w:val="24"/>
          <w:szCs w:val="24"/>
        </w:rPr>
      </w:pPr>
    </w:p>
    <w:p w14:paraId="5BEFD28D" w14:textId="1A6D461D" w:rsidR="00494C5A" w:rsidRDefault="00494C5A" w:rsidP="00B31E5F">
      <w:pPr>
        <w:pStyle w:val="NoSpacing"/>
        <w:jc w:val="both"/>
        <w:rPr>
          <w:sz w:val="24"/>
          <w:szCs w:val="24"/>
        </w:rPr>
      </w:pPr>
    </w:p>
    <w:p w14:paraId="6D2786AC" w14:textId="77777777" w:rsidR="00494C5A" w:rsidRPr="00494C5A" w:rsidRDefault="00494C5A" w:rsidP="00B31E5F">
      <w:pPr>
        <w:pStyle w:val="NoSpacing"/>
        <w:jc w:val="both"/>
        <w:rPr>
          <w:sz w:val="24"/>
          <w:szCs w:val="24"/>
        </w:rPr>
      </w:pPr>
    </w:p>
    <w:p w14:paraId="408B6A7D" w14:textId="77777777" w:rsidR="006710CC" w:rsidRPr="006710CC" w:rsidRDefault="006710CC" w:rsidP="006710CC">
      <w:pPr>
        <w:jc w:val="both"/>
        <w:rPr>
          <w:rFonts w:asciiTheme="minorHAnsi" w:hAnsiTheme="minorHAnsi" w:cstheme="minorHAnsi"/>
          <w:lang w:eastAsia="en-GB"/>
        </w:rPr>
      </w:pPr>
      <w:r w:rsidRPr="00494C5A">
        <w:rPr>
          <w:rFonts w:asciiTheme="minorHAnsi" w:hAnsiTheme="minorHAnsi" w:cstheme="minorHAnsi"/>
          <w:szCs w:val="24"/>
          <w:lang w:eastAsia="en-GB"/>
        </w:rPr>
        <w:t xml:space="preserve">A M. Frame </w:t>
      </w:r>
      <w:r w:rsidRPr="006710CC">
        <w:rPr>
          <w:rFonts w:asciiTheme="minorHAnsi" w:hAnsiTheme="minorHAnsi" w:cstheme="minorHAnsi"/>
          <w:sz w:val="20"/>
          <w:lang w:eastAsia="en-GB"/>
        </w:rPr>
        <w:t>MSc., FRICS., FFPWS., FASI., FCIOB., MCMI.</w:t>
      </w:r>
      <w:r w:rsidRPr="006710CC">
        <w:rPr>
          <w:rFonts w:asciiTheme="minorHAnsi" w:hAnsiTheme="minorHAnsi" w:cstheme="minorHAnsi"/>
          <w:lang w:eastAsia="en-GB"/>
        </w:rPr>
        <w:t> </w:t>
      </w:r>
    </w:p>
    <w:p w14:paraId="3568AC4D" w14:textId="77777777" w:rsidR="00B31E5F" w:rsidRPr="009A5008" w:rsidRDefault="00B31E5F" w:rsidP="00B31E5F">
      <w:pPr>
        <w:pStyle w:val="NoSpacing"/>
        <w:ind w:left="720"/>
        <w:jc w:val="both"/>
        <w:rPr>
          <w:sz w:val="28"/>
          <w:szCs w:val="28"/>
        </w:rPr>
      </w:pPr>
    </w:p>
    <w:sectPr w:rsidR="00B31E5F" w:rsidRPr="009A5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F5"/>
    <w:rsid w:val="001236F5"/>
    <w:rsid w:val="00494C5A"/>
    <w:rsid w:val="006710CC"/>
    <w:rsid w:val="00716F25"/>
    <w:rsid w:val="009A5008"/>
    <w:rsid w:val="009D6A80"/>
    <w:rsid w:val="00B3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75DE1"/>
  <w15:chartTrackingRefBased/>
  <w15:docId w15:val="{912869EB-A6FF-4114-88F9-1A01BE291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0CC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36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Frame</dc:creator>
  <cp:keywords/>
  <dc:description/>
  <cp:lastModifiedBy>Alex Frame</cp:lastModifiedBy>
  <cp:revision>1</cp:revision>
  <cp:lastPrinted>2021-11-09T09:09:00Z</cp:lastPrinted>
  <dcterms:created xsi:type="dcterms:W3CDTF">2021-11-09T08:42:00Z</dcterms:created>
  <dcterms:modified xsi:type="dcterms:W3CDTF">2021-11-09T09:10:00Z</dcterms:modified>
</cp:coreProperties>
</file>