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AD8CF" w14:textId="0122E4AC" w:rsidR="0051513B" w:rsidRDefault="00886B9A">
      <w:pPr>
        <w:rPr>
          <w:b/>
          <w:bCs/>
          <w:sz w:val="28"/>
          <w:szCs w:val="28"/>
        </w:rPr>
      </w:pPr>
      <w:r w:rsidRPr="00886B9A">
        <w:rPr>
          <w:b/>
          <w:bCs/>
          <w:sz w:val="28"/>
          <w:szCs w:val="28"/>
        </w:rPr>
        <w:t>APPEAL STATEMENT</w:t>
      </w:r>
    </w:p>
    <w:p w14:paraId="32AB3A68" w14:textId="77777777" w:rsidR="005B19DE" w:rsidRDefault="005B19DE">
      <w:pPr>
        <w:rPr>
          <w:b/>
          <w:bCs/>
          <w:sz w:val="28"/>
          <w:szCs w:val="28"/>
        </w:rPr>
      </w:pPr>
    </w:p>
    <w:p w14:paraId="04449A5C" w14:textId="67AFB91E" w:rsidR="004D287B" w:rsidRPr="004D287B" w:rsidRDefault="004D287B">
      <w:pPr>
        <w:rPr>
          <w:rFonts w:cstheme="minorHAnsi"/>
          <w:b/>
          <w:bCs/>
        </w:rPr>
      </w:pPr>
      <w:r w:rsidRPr="004D287B">
        <w:rPr>
          <w:rFonts w:cstheme="minorHAnsi"/>
          <w:b/>
          <w:bCs/>
        </w:rPr>
        <w:t>Crossier Properties Limited</w:t>
      </w:r>
    </w:p>
    <w:p w14:paraId="4E4D8BDA" w14:textId="6A2BD267" w:rsidR="004D287B" w:rsidRPr="004D287B" w:rsidRDefault="004D287B" w:rsidP="004D287B">
      <w:pPr>
        <w:widowControl w:val="0"/>
        <w:autoSpaceDE w:val="0"/>
        <w:autoSpaceDN w:val="0"/>
        <w:adjustRightInd w:val="0"/>
        <w:jc w:val="both"/>
        <w:rPr>
          <w:rFonts w:cstheme="minorHAnsi"/>
          <w:b/>
        </w:rPr>
      </w:pPr>
      <w:r w:rsidRPr="004D287B">
        <w:rPr>
          <w:rFonts w:cstheme="minorHAnsi"/>
          <w:b/>
        </w:rPr>
        <w:t>Former Star Public House, Junction of Star Road and Malborough Parade, UB10 0LZ</w:t>
      </w:r>
    </w:p>
    <w:p w14:paraId="2BBEBFD2" w14:textId="77777777" w:rsidR="00191C84" w:rsidRPr="004D287B" w:rsidRDefault="00191C84" w:rsidP="00FD1DBA">
      <w:pPr>
        <w:rPr>
          <w:rFonts w:cstheme="minorHAnsi"/>
        </w:rPr>
      </w:pPr>
    </w:p>
    <w:p w14:paraId="292F1024" w14:textId="5C14FD48" w:rsidR="00886B9A" w:rsidRDefault="004D287B" w:rsidP="003E5358">
      <w:pPr>
        <w:pStyle w:val="ListParagraph"/>
        <w:numPr>
          <w:ilvl w:val="0"/>
          <w:numId w:val="16"/>
        </w:numPr>
        <w:rPr>
          <w:rFonts w:cstheme="minorHAnsi"/>
        </w:rPr>
      </w:pPr>
      <w:r w:rsidRPr="003E5358">
        <w:rPr>
          <w:rFonts w:cstheme="minorHAnsi"/>
        </w:rPr>
        <w:t xml:space="preserve">A </w:t>
      </w:r>
      <w:r w:rsidR="00FD1DBA" w:rsidRPr="003E5358">
        <w:rPr>
          <w:rFonts w:cstheme="minorHAnsi"/>
        </w:rPr>
        <w:t xml:space="preserve">pre-application </w:t>
      </w:r>
      <w:r w:rsidRPr="003E5358">
        <w:rPr>
          <w:rFonts w:cstheme="minorHAnsi"/>
        </w:rPr>
        <w:t>meeting with planning and design officers from Hillingdon Council took place on the 10</w:t>
      </w:r>
      <w:r w:rsidRPr="003E5358">
        <w:rPr>
          <w:rFonts w:cstheme="minorHAnsi"/>
          <w:vertAlign w:val="superscript"/>
        </w:rPr>
        <w:t>th</w:t>
      </w:r>
      <w:r w:rsidRPr="003E5358">
        <w:rPr>
          <w:rFonts w:cstheme="minorHAnsi"/>
        </w:rPr>
        <w:t xml:space="preserve"> May 2019. The appellant sought advice in relation to a scheme similar to the one subject to this appeal, e.g. 5 storeys </w:t>
      </w:r>
      <w:r w:rsidR="008279AA">
        <w:rPr>
          <w:rFonts w:cstheme="minorHAnsi"/>
        </w:rPr>
        <w:t xml:space="preserve">but </w:t>
      </w:r>
      <w:r w:rsidRPr="003E5358">
        <w:rPr>
          <w:rFonts w:cstheme="minorHAnsi"/>
        </w:rPr>
        <w:t>accommodating</w:t>
      </w:r>
      <w:r w:rsidR="008279AA">
        <w:rPr>
          <w:rFonts w:cstheme="minorHAnsi"/>
        </w:rPr>
        <w:t xml:space="preserve"> </w:t>
      </w:r>
      <w:r w:rsidRPr="003E5358">
        <w:rPr>
          <w:rFonts w:cstheme="minorHAnsi"/>
        </w:rPr>
        <w:t xml:space="preserve">15 flats and the erection of 3 x 3 bedroom houses. </w:t>
      </w:r>
    </w:p>
    <w:p w14:paraId="2C459311" w14:textId="77777777" w:rsidR="00D21DDC" w:rsidRDefault="00D21DDC" w:rsidP="00D21DDC">
      <w:pPr>
        <w:pStyle w:val="ListParagraph"/>
        <w:rPr>
          <w:rFonts w:cstheme="minorHAnsi"/>
        </w:rPr>
      </w:pPr>
    </w:p>
    <w:p w14:paraId="50E468B7" w14:textId="77417938" w:rsidR="003E5358" w:rsidRDefault="008279AA" w:rsidP="003E5358">
      <w:pPr>
        <w:pStyle w:val="ListParagraph"/>
        <w:numPr>
          <w:ilvl w:val="0"/>
          <w:numId w:val="16"/>
        </w:numPr>
        <w:rPr>
          <w:rFonts w:cstheme="minorHAnsi"/>
        </w:rPr>
      </w:pPr>
      <w:r>
        <w:rPr>
          <w:rFonts w:cstheme="minorHAnsi"/>
        </w:rPr>
        <w:t>At the meeting, officers advised the appellant that the scheme was acceptable subject to a number of deta</w:t>
      </w:r>
      <w:r w:rsidR="002D3302">
        <w:rPr>
          <w:rFonts w:cstheme="minorHAnsi"/>
        </w:rPr>
        <w:t>i</w:t>
      </w:r>
      <w:r>
        <w:rPr>
          <w:rFonts w:cstheme="minorHAnsi"/>
        </w:rPr>
        <w:t>led matters including the quantum of amenity space</w:t>
      </w:r>
      <w:r w:rsidR="002D3302">
        <w:rPr>
          <w:rFonts w:cstheme="minorHAnsi"/>
        </w:rPr>
        <w:t xml:space="preserve">, daylight and sunlight, privacy, </w:t>
      </w:r>
      <w:r w:rsidR="000A1345">
        <w:rPr>
          <w:rFonts w:cstheme="minorHAnsi"/>
        </w:rPr>
        <w:t xml:space="preserve">size of commercial unit, </w:t>
      </w:r>
      <w:r w:rsidR="002D3302">
        <w:rPr>
          <w:rFonts w:cstheme="minorHAnsi"/>
        </w:rPr>
        <w:t>removal of the ground floor flat, affordable housing provision and design issues. The scale and height was considered acceptable.</w:t>
      </w:r>
    </w:p>
    <w:p w14:paraId="25D44983" w14:textId="77777777" w:rsidR="00D21DDC" w:rsidRDefault="00D21DDC" w:rsidP="00D21DDC">
      <w:pPr>
        <w:pStyle w:val="ListParagraph"/>
        <w:rPr>
          <w:rFonts w:cstheme="minorHAnsi"/>
        </w:rPr>
      </w:pPr>
    </w:p>
    <w:p w14:paraId="60196AD4" w14:textId="477627D1" w:rsidR="002D3302" w:rsidRDefault="002D3302" w:rsidP="000A1345">
      <w:pPr>
        <w:pStyle w:val="ListParagraph"/>
        <w:numPr>
          <w:ilvl w:val="0"/>
          <w:numId w:val="16"/>
        </w:numPr>
        <w:rPr>
          <w:rFonts w:cstheme="minorHAnsi"/>
        </w:rPr>
      </w:pPr>
      <w:r>
        <w:rPr>
          <w:rFonts w:cstheme="minorHAnsi"/>
        </w:rPr>
        <w:t xml:space="preserve">However, the pre-app advice did not reflect the advice received at the meeting. Fundamentally, the advice </w:t>
      </w:r>
      <w:r w:rsidR="000A1345">
        <w:rPr>
          <w:rFonts w:cstheme="minorHAnsi"/>
        </w:rPr>
        <w:t>received 4 months later (12</w:t>
      </w:r>
      <w:r w:rsidR="000A1345" w:rsidRPr="000A1345">
        <w:rPr>
          <w:rFonts w:cstheme="minorHAnsi"/>
          <w:vertAlign w:val="superscript"/>
        </w:rPr>
        <w:t>th</w:t>
      </w:r>
      <w:r w:rsidR="000A1345">
        <w:rPr>
          <w:rFonts w:cstheme="minorHAnsi"/>
        </w:rPr>
        <w:t xml:space="preserve"> September 2020) </w:t>
      </w:r>
      <w:r>
        <w:rPr>
          <w:rFonts w:cstheme="minorHAnsi"/>
        </w:rPr>
        <w:t>stated that the frontage building was 1 storey</w:t>
      </w:r>
      <w:r w:rsidRPr="000A1345">
        <w:rPr>
          <w:rFonts w:cstheme="minorHAnsi"/>
        </w:rPr>
        <w:t xml:space="preserve"> too high</w:t>
      </w:r>
      <w:r w:rsidR="000A1345">
        <w:rPr>
          <w:rFonts w:cstheme="minorHAnsi"/>
        </w:rPr>
        <w:t xml:space="preserve"> as were the 3 houses</w:t>
      </w:r>
      <w:r w:rsidRPr="000A1345">
        <w:rPr>
          <w:rFonts w:cstheme="minorHAnsi"/>
        </w:rPr>
        <w:t>.</w:t>
      </w:r>
    </w:p>
    <w:p w14:paraId="1AE250C6" w14:textId="77777777" w:rsidR="00D21DDC" w:rsidRDefault="00D21DDC" w:rsidP="00D21DDC">
      <w:pPr>
        <w:pStyle w:val="ListParagraph"/>
        <w:rPr>
          <w:rFonts w:cstheme="minorHAnsi"/>
        </w:rPr>
      </w:pPr>
    </w:p>
    <w:p w14:paraId="6803FBC7" w14:textId="68DCD98C" w:rsidR="000A1345" w:rsidRDefault="000A1345" w:rsidP="000A1345">
      <w:pPr>
        <w:pStyle w:val="ListParagraph"/>
        <w:numPr>
          <w:ilvl w:val="0"/>
          <w:numId w:val="16"/>
        </w:numPr>
        <w:rPr>
          <w:rFonts w:cstheme="minorHAnsi"/>
        </w:rPr>
      </w:pPr>
      <w:r>
        <w:rPr>
          <w:rFonts w:cstheme="minorHAnsi"/>
        </w:rPr>
        <w:t>The appellant was extremely frustrated and despite a follow up meeting, officers re-iterated their written advice.</w:t>
      </w:r>
    </w:p>
    <w:p w14:paraId="7B92BD54" w14:textId="77777777" w:rsidR="00D21DDC" w:rsidRDefault="00D21DDC" w:rsidP="00D21DDC">
      <w:pPr>
        <w:pStyle w:val="ListParagraph"/>
        <w:rPr>
          <w:rFonts w:cstheme="minorHAnsi"/>
        </w:rPr>
      </w:pPr>
    </w:p>
    <w:p w14:paraId="45739367" w14:textId="56FC3950" w:rsidR="00D21DDC" w:rsidRDefault="008D0DDF" w:rsidP="00B87D90">
      <w:pPr>
        <w:pStyle w:val="ListParagraph"/>
        <w:numPr>
          <w:ilvl w:val="0"/>
          <w:numId w:val="16"/>
        </w:numPr>
        <w:rPr>
          <w:rFonts w:cstheme="minorHAnsi"/>
        </w:rPr>
      </w:pPr>
      <w:r>
        <w:rPr>
          <w:rFonts w:cstheme="minorHAnsi"/>
        </w:rPr>
        <w:t>In light of the above, on the 25</w:t>
      </w:r>
      <w:r w:rsidRPr="008D0DDF">
        <w:rPr>
          <w:rFonts w:cstheme="minorHAnsi"/>
          <w:vertAlign w:val="superscript"/>
        </w:rPr>
        <w:t>th</w:t>
      </w:r>
      <w:r>
        <w:rPr>
          <w:rFonts w:cstheme="minorHAnsi"/>
        </w:rPr>
        <w:t xml:space="preserve"> November 2019 the appellant submitted 2 planning applications. The first is subject to this appeal</w:t>
      </w:r>
      <w:r w:rsidR="00D21DDC">
        <w:rPr>
          <w:rFonts w:cstheme="minorHAnsi"/>
        </w:rPr>
        <w:t>, referenced 8057/APP/2019/3862 and sought planning permission for the:</w:t>
      </w:r>
    </w:p>
    <w:p w14:paraId="2B39988D" w14:textId="77777777" w:rsidR="00D21DDC" w:rsidRPr="00D21DDC" w:rsidRDefault="00D21DDC" w:rsidP="00D21DDC">
      <w:pPr>
        <w:pStyle w:val="ListParagraph"/>
        <w:rPr>
          <w:rFonts w:cstheme="minorHAnsi"/>
        </w:rPr>
      </w:pPr>
    </w:p>
    <w:p w14:paraId="252F8622" w14:textId="54FF79A5" w:rsidR="00D21DDC" w:rsidRPr="00D21DDC" w:rsidRDefault="00D21DDC" w:rsidP="00D21DDC">
      <w:pPr>
        <w:autoSpaceDE w:val="0"/>
        <w:autoSpaceDN w:val="0"/>
        <w:adjustRightInd w:val="0"/>
        <w:ind w:left="1080"/>
        <w:rPr>
          <w:rFonts w:cstheme="minorHAnsi"/>
          <w:i/>
          <w:iCs/>
        </w:rPr>
      </w:pPr>
      <w:r w:rsidRPr="00D21DDC">
        <w:rPr>
          <w:rFonts w:cstheme="minorHAnsi"/>
          <w:i/>
          <w:iCs/>
        </w:rPr>
        <w:t>Erection of a part 4, part 5 storey building accommodating 14 dwellings (9 x 1</w:t>
      </w:r>
      <w:r>
        <w:rPr>
          <w:rFonts w:cstheme="minorHAnsi"/>
          <w:i/>
          <w:iCs/>
        </w:rPr>
        <w:t xml:space="preserve"> </w:t>
      </w:r>
      <w:r w:rsidRPr="00D21DDC">
        <w:rPr>
          <w:rFonts w:cstheme="minorHAnsi"/>
          <w:i/>
          <w:iCs/>
        </w:rPr>
        <w:t>bed, 3 x 2 bed and 2 x 3 bed flats) and commercial space, and the erection</w:t>
      </w:r>
      <w:r>
        <w:rPr>
          <w:rFonts w:cstheme="minorHAnsi"/>
          <w:i/>
          <w:iCs/>
        </w:rPr>
        <w:t xml:space="preserve"> </w:t>
      </w:r>
      <w:r w:rsidRPr="00D21DDC">
        <w:rPr>
          <w:rFonts w:cstheme="minorHAnsi"/>
          <w:i/>
          <w:iCs/>
        </w:rPr>
        <w:t>of a separate 2 storey building with roof accommodation to provide 2 x 3 bed</w:t>
      </w:r>
      <w:r>
        <w:rPr>
          <w:rFonts w:cstheme="minorHAnsi"/>
          <w:i/>
          <w:iCs/>
        </w:rPr>
        <w:t xml:space="preserve"> </w:t>
      </w:r>
      <w:r w:rsidRPr="00D21DDC">
        <w:rPr>
          <w:rFonts w:cstheme="minorHAnsi"/>
          <w:i/>
          <w:iCs/>
        </w:rPr>
        <w:t>houses, car and cycle parking and private and communal amenity space.</w:t>
      </w:r>
    </w:p>
    <w:p w14:paraId="7DEAA8E9" w14:textId="77777777" w:rsidR="00D21DDC" w:rsidRPr="00D21DDC" w:rsidRDefault="00D21DDC" w:rsidP="00D21DDC">
      <w:pPr>
        <w:pStyle w:val="ListParagraph"/>
        <w:rPr>
          <w:rFonts w:cstheme="minorHAnsi"/>
          <w:i/>
          <w:iCs/>
        </w:rPr>
      </w:pPr>
    </w:p>
    <w:p w14:paraId="2982CF3B" w14:textId="67EAA4E0" w:rsidR="00B87D90" w:rsidRPr="00D21DDC" w:rsidRDefault="008D0DDF" w:rsidP="00D21DDC">
      <w:pPr>
        <w:pStyle w:val="ListParagraph"/>
        <w:numPr>
          <w:ilvl w:val="0"/>
          <w:numId w:val="16"/>
        </w:numPr>
        <w:rPr>
          <w:rFonts w:cstheme="minorHAnsi"/>
        </w:rPr>
      </w:pPr>
      <w:r>
        <w:rPr>
          <w:rFonts w:cstheme="minorHAnsi"/>
        </w:rPr>
        <w:t xml:space="preserve">The second </w:t>
      </w:r>
      <w:r w:rsidR="00D21DDC">
        <w:rPr>
          <w:rFonts w:cstheme="minorHAnsi"/>
        </w:rPr>
        <w:t xml:space="preserve">application </w:t>
      </w:r>
      <w:r>
        <w:rPr>
          <w:rFonts w:cstheme="minorHAnsi"/>
        </w:rPr>
        <w:t>was for an almost identical proposal to the appeal scheme albeit the frontage building had one storey less</w:t>
      </w:r>
      <w:r w:rsidR="00D21DDC">
        <w:rPr>
          <w:rFonts w:cstheme="minorHAnsi"/>
        </w:rPr>
        <w:t xml:space="preserve"> and </w:t>
      </w:r>
      <w:r w:rsidR="00B87D90" w:rsidRPr="00D21DDC">
        <w:rPr>
          <w:rFonts w:cstheme="minorHAnsi"/>
        </w:rPr>
        <w:t>sought planning permission for the:</w:t>
      </w:r>
    </w:p>
    <w:p w14:paraId="444B9446" w14:textId="228421CA" w:rsidR="00B87D90" w:rsidRDefault="00B87D90" w:rsidP="00B87D90">
      <w:pPr>
        <w:pStyle w:val="ListParagraph"/>
        <w:rPr>
          <w:rFonts w:cstheme="minorHAnsi"/>
        </w:rPr>
      </w:pPr>
    </w:p>
    <w:p w14:paraId="0CDDED98" w14:textId="0507917B" w:rsidR="00B87D90" w:rsidRDefault="00B87D90" w:rsidP="00D21DDC">
      <w:pPr>
        <w:autoSpaceDE w:val="0"/>
        <w:autoSpaceDN w:val="0"/>
        <w:adjustRightInd w:val="0"/>
        <w:ind w:left="1080"/>
        <w:rPr>
          <w:rFonts w:cstheme="minorHAnsi"/>
          <w:i/>
          <w:iCs/>
        </w:rPr>
      </w:pPr>
      <w:r w:rsidRPr="00B87D90">
        <w:rPr>
          <w:rFonts w:cstheme="minorHAnsi"/>
          <w:i/>
          <w:iCs/>
        </w:rPr>
        <w:t>Erection of a part 3, part 4 storey building accommodating 10 dwellings (6 x 1</w:t>
      </w:r>
      <w:r>
        <w:rPr>
          <w:rFonts w:cstheme="minorHAnsi"/>
          <w:i/>
          <w:iCs/>
        </w:rPr>
        <w:t xml:space="preserve"> </w:t>
      </w:r>
      <w:r w:rsidRPr="00B87D90">
        <w:rPr>
          <w:rFonts w:cstheme="minorHAnsi"/>
          <w:i/>
          <w:iCs/>
        </w:rPr>
        <w:t>bed, 2 x 2 bed and 2 x 3 bed flats); 112 sq.m of commercial space at ground</w:t>
      </w:r>
      <w:r>
        <w:rPr>
          <w:rFonts w:cstheme="minorHAnsi"/>
          <w:i/>
          <w:iCs/>
        </w:rPr>
        <w:t xml:space="preserve"> </w:t>
      </w:r>
      <w:r w:rsidRPr="00B87D90">
        <w:rPr>
          <w:rFonts w:cstheme="minorHAnsi"/>
          <w:i/>
          <w:iCs/>
        </w:rPr>
        <w:t>floor level with car and cycle parking and private and communal amenity</w:t>
      </w:r>
      <w:r>
        <w:rPr>
          <w:rFonts w:cstheme="minorHAnsi"/>
          <w:i/>
          <w:iCs/>
        </w:rPr>
        <w:t xml:space="preserve"> </w:t>
      </w:r>
      <w:r w:rsidRPr="00B87D90">
        <w:rPr>
          <w:rFonts w:cstheme="minorHAnsi"/>
          <w:i/>
          <w:iCs/>
        </w:rPr>
        <w:t>space and erection of a 2 storey building with roof accommodation</w:t>
      </w:r>
      <w:r>
        <w:rPr>
          <w:rFonts w:cstheme="minorHAnsi"/>
          <w:i/>
          <w:iCs/>
        </w:rPr>
        <w:t xml:space="preserve"> </w:t>
      </w:r>
      <w:r w:rsidRPr="00B87D90">
        <w:rPr>
          <w:rFonts w:cstheme="minorHAnsi"/>
          <w:i/>
          <w:iCs/>
        </w:rPr>
        <w:t>comprising 2 x 3 bed houses, car and cycle parking and private amenity</w:t>
      </w:r>
      <w:r>
        <w:rPr>
          <w:rFonts w:cstheme="minorHAnsi"/>
          <w:i/>
          <w:iCs/>
        </w:rPr>
        <w:t xml:space="preserve"> </w:t>
      </w:r>
      <w:r w:rsidRPr="00B87D90">
        <w:rPr>
          <w:rFonts w:cstheme="minorHAnsi"/>
          <w:i/>
          <w:iCs/>
        </w:rPr>
        <w:t>space.</w:t>
      </w:r>
    </w:p>
    <w:p w14:paraId="0E64CA08" w14:textId="77777777" w:rsidR="00D21DDC" w:rsidRPr="00D21DDC" w:rsidRDefault="00D21DDC" w:rsidP="00D21DDC">
      <w:pPr>
        <w:autoSpaceDE w:val="0"/>
        <w:autoSpaceDN w:val="0"/>
        <w:adjustRightInd w:val="0"/>
        <w:ind w:left="1080"/>
        <w:rPr>
          <w:rFonts w:cstheme="minorHAnsi"/>
          <w:i/>
          <w:iCs/>
        </w:rPr>
      </w:pPr>
    </w:p>
    <w:p w14:paraId="4746CCDF" w14:textId="6B2EF01D" w:rsidR="00154D1A" w:rsidRDefault="00B87D90" w:rsidP="00B87D90">
      <w:pPr>
        <w:pStyle w:val="ListParagraph"/>
        <w:numPr>
          <w:ilvl w:val="0"/>
          <w:numId w:val="16"/>
        </w:numPr>
        <w:rPr>
          <w:rFonts w:cstheme="minorHAnsi"/>
        </w:rPr>
      </w:pPr>
      <w:r>
        <w:rPr>
          <w:rFonts w:cstheme="minorHAnsi"/>
        </w:rPr>
        <w:t>Both applications were reported to Hillingdon Council’s Major Applications Planning Committee on the 15</w:t>
      </w:r>
      <w:r w:rsidRPr="00B87D90">
        <w:rPr>
          <w:rFonts w:cstheme="minorHAnsi"/>
          <w:vertAlign w:val="superscript"/>
        </w:rPr>
        <w:t>th</w:t>
      </w:r>
      <w:r>
        <w:rPr>
          <w:rFonts w:cstheme="minorHAnsi"/>
        </w:rPr>
        <w:t xml:space="preserve"> July 2020. </w:t>
      </w:r>
      <w:r w:rsidR="00D21DDC">
        <w:rPr>
          <w:rFonts w:cstheme="minorHAnsi"/>
        </w:rPr>
        <w:t>The Committee resolved to grant planning permission for the smaller scheme subject to the completion of a S106 Agreement</w:t>
      </w:r>
      <w:r w:rsidR="00206B52">
        <w:rPr>
          <w:rFonts w:cstheme="minorHAnsi"/>
        </w:rPr>
        <w:t xml:space="preserve"> which is currently being drafted</w:t>
      </w:r>
      <w:r w:rsidR="00D21DDC">
        <w:rPr>
          <w:rFonts w:cstheme="minorHAnsi"/>
        </w:rPr>
        <w:t>.</w:t>
      </w:r>
    </w:p>
    <w:p w14:paraId="5CA56FBB" w14:textId="1CA7EFCA" w:rsidR="00D21DDC" w:rsidRDefault="00E73EDF" w:rsidP="00D21DDC">
      <w:pPr>
        <w:pStyle w:val="ListParagraph"/>
        <w:numPr>
          <w:ilvl w:val="0"/>
          <w:numId w:val="16"/>
        </w:numPr>
        <w:rPr>
          <w:rFonts w:cstheme="minorHAnsi"/>
        </w:rPr>
      </w:pPr>
      <w:r>
        <w:rPr>
          <w:rFonts w:cstheme="minorHAnsi"/>
        </w:rPr>
        <w:lastRenderedPageBreak/>
        <w:t>Despite overwhelming local support, t</w:t>
      </w:r>
      <w:r w:rsidR="00D21DDC">
        <w:rPr>
          <w:rFonts w:cstheme="minorHAnsi"/>
        </w:rPr>
        <w:t>he larger scheme subject to the appeal was refused planning permission for the following reasons:</w:t>
      </w:r>
    </w:p>
    <w:p w14:paraId="2432BF98" w14:textId="49ECE1AA" w:rsidR="00D21DDC" w:rsidRDefault="00D21DDC" w:rsidP="00D21DDC">
      <w:pPr>
        <w:pStyle w:val="ListParagraph"/>
        <w:rPr>
          <w:rFonts w:cstheme="minorHAnsi"/>
        </w:rPr>
      </w:pPr>
    </w:p>
    <w:p w14:paraId="48B8BBE1" w14:textId="4DF4AD6D" w:rsidR="00206B52" w:rsidRPr="00206B52" w:rsidRDefault="00206B52" w:rsidP="00206B52">
      <w:pPr>
        <w:autoSpaceDE w:val="0"/>
        <w:autoSpaceDN w:val="0"/>
        <w:adjustRightInd w:val="0"/>
        <w:ind w:left="1440"/>
        <w:rPr>
          <w:rFonts w:cstheme="minorHAnsi"/>
          <w:i/>
          <w:iCs/>
        </w:rPr>
      </w:pPr>
      <w:r w:rsidRPr="00206B52">
        <w:rPr>
          <w:rFonts w:cstheme="minorHAnsi"/>
          <w:i/>
          <w:iCs/>
        </w:rPr>
        <w:t>1 The proposed development, by virtue of its height, scale and mass would appear to</w:t>
      </w:r>
      <w:r>
        <w:rPr>
          <w:rFonts w:cstheme="minorHAnsi"/>
          <w:i/>
          <w:iCs/>
        </w:rPr>
        <w:t xml:space="preserve"> </w:t>
      </w:r>
      <w:r w:rsidRPr="00206B52">
        <w:rPr>
          <w:rFonts w:cstheme="minorHAnsi"/>
          <w:i/>
          <w:iCs/>
        </w:rPr>
        <w:t>be an incongruous form of development that fails to respond to its local context and</w:t>
      </w:r>
      <w:r>
        <w:rPr>
          <w:rFonts w:cstheme="minorHAnsi"/>
          <w:i/>
          <w:iCs/>
        </w:rPr>
        <w:t xml:space="preserve"> </w:t>
      </w:r>
      <w:r w:rsidRPr="00206B52">
        <w:rPr>
          <w:rFonts w:cstheme="minorHAnsi"/>
          <w:i/>
          <w:iCs/>
        </w:rPr>
        <w:t>would fail to respect the established pattern and scale of development within the</w:t>
      </w:r>
      <w:r>
        <w:rPr>
          <w:rFonts w:cstheme="minorHAnsi"/>
          <w:i/>
          <w:iCs/>
        </w:rPr>
        <w:t xml:space="preserve"> </w:t>
      </w:r>
      <w:r w:rsidRPr="00206B52">
        <w:rPr>
          <w:rFonts w:cstheme="minorHAnsi"/>
          <w:i/>
          <w:iCs/>
        </w:rPr>
        <w:t>streetscene so that it would not contribute positively to the area's character, contrary</w:t>
      </w:r>
      <w:r>
        <w:rPr>
          <w:rFonts w:cstheme="minorHAnsi"/>
          <w:i/>
          <w:iCs/>
        </w:rPr>
        <w:t xml:space="preserve"> </w:t>
      </w:r>
      <w:r w:rsidRPr="00206B52">
        <w:rPr>
          <w:rFonts w:cstheme="minorHAnsi"/>
          <w:i/>
          <w:iCs/>
        </w:rPr>
        <w:t>to Policy BE1 of the Local Plan: Part One (November 2012), Policies DMHB 11 and</w:t>
      </w:r>
      <w:r>
        <w:rPr>
          <w:rFonts w:cstheme="minorHAnsi"/>
          <w:i/>
          <w:iCs/>
        </w:rPr>
        <w:t xml:space="preserve"> </w:t>
      </w:r>
      <w:r w:rsidRPr="00206B52">
        <w:rPr>
          <w:rFonts w:cstheme="minorHAnsi"/>
          <w:i/>
          <w:iCs/>
        </w:rPr>
        <w:t>DMHB 12 of the Local Plan: Part Two - Development Management Policies (2020),</w:t>
      </w:r>
      <w:r>
        <w:rPr>
          <w:rFonts w:cstheme="minorHAnsi"/>
          <w:i/>
          <w:iCs/>
        </w:rPr>
        <w:t xml:space="preserve"> </w:t>
      </w:r>
      <w:r w:rsidRPr="00206B52">
        <w:rPr>
          <w:rFonts w:cstheme="minorHAnsi"/>
          <w:i/>
          <w:iCs/>
        </w:rPr>
        <w:t>Policy 7.6 of the London Plan (2016) and Paragraph 131 of the NPPF (2019).</w:t>
      </w:r>
    </w:p>
    <w:p w14:paraId="75262A71" w14:textId="77777777" w:rsidR="00206B52" w:rsidRPr="00206B52" w:rsidRDefault="00206B52" w:rsidP="00206B52">
      <w:pPr>
        <w:autoSpaceDE w:val="0"/>
        <w:autoSpaceDN w:val="0"/>
        <w:adjustRightInd w:val="0"/>
        <w:rPr>
          <w:rFonts w:cstheme="minorHAnsi"/>
          <w:i/>
          <w:iCs/>
        </w:rPr>
      </w:pPr>
    </w:p>
    <w:p w14:paraId="1F9A207C" w14:textId="5102DB95" w:rsidR="00D21DDC" w:rsidRPr="00206B52" w:rsidRDefault="00206B52" w:rsidP="00206B52">
      <w:pPr>
        <w:autoSpaceDE w:val="0"/>
        <w:autoSpaceDN w:val="0"/>
        <w:adjustRightInd w:val="0"/>
        <w:ind w:left="1440"/>
        <w:rPr>
          <w:rFonts w:cstheme="minorHAnsi"/>
          <w:i/>
          <w:iCs/>
        </w:rPr>
      </w:pPr>
      <w:r w:rsidRPr="00206B52">
        <w:rPr>
          <w:rFonts w:cstheme="minorHAnsi"/>
          <w:i/>
          <w:iCs/>
        </w:rPr>
        <w:t>2 The proposed development, in the absence of a Section 106 legal agreement fails to</w:t>
      </w:r>
      <w:r>
        <w:rPr>
          <w:rFonts w:cstheme="minorHAnsi"/>
          <w:i/>
          <w:iCs/>
        </w:rPr>
        <w:t xml:space="preserve"> </w:t>
      </w:r>
      <w:r w:rsidRPr="00206B52">
        <w:rPr>
          <w:rFonts w:cstheme="minorHAnsi"/>
          <w:i/>
          <w:iCs/>
        </w:rPr>
        <w:t>provide contributions towards the improvement of services and facilities as a</w:t>
      </w:r>
      <w:r>
        <w:rPr>
          <w:rFonts w:cstheme="minorHAnsi"/>
          <w:i/>
          <w:iCs/>
        </w:rPr>
        <w:t xml:space="preserve"> </w:t>
      </w:r>
      <w:r w:rsidRPr="00206B52">
        <w:rPr>
          <w:rFonts w:cstheme="minorHAnsi"/>
          <w:i/>
          <w:iCs/>
        </w:rPr>
        <w:t>consequence of demands created by the proposed development (in respect of</w:t>
      </w:r>
      <w:r>
        <w:rPr>
          <w:rFonts w:cstheme="minorHAnsi"/>
          <w:i/>
          <w:iCs/>
        </w:rPr>
        <w:t xml:space="preserve"> </w:t>
      </w:r>
      <w:r w:rsidRPr="00206B52">
        <w:rPr>
          <w:rFonts w:cstheme="minorHAnsi"/>
          <w:i/>
          <w:iCs/>
        </w:rPr>
        <w:t>Affordable housing, construction training, highways works, carbon offset, public open</w:t>
      </w:r>
      <w:r>
        <w:rPr>
          <w:rFonts w:cstheme="minorHAnsi"/>
          <w:i/>
          <w:iCs/>
        </w:rPr>
        <w:t xml:space="preserve"> </w:t>
      </w:r>
      <w:r w:rsidRPr="00206B52">
        <w:rPr>
          <w:rFonts w:cstheme="minorHAnsi"/>
          <w:i/>
          <w:iCs/>
        </w:rPr>
        <w:t>space, air quality contributions and Project Management and Monitoring). The</w:t>
      </w:r>
      <w:r>
        <w:rPr>
          <w:rFonts w:cstheme="minorHAnsi"/>
          <w:i/>
          <w:iCs/>
        </w:rPr>
        <w:t xml:space="preserve"> </w:t>
      </w:r>
      <w:r w:rsidRPr="00206B52">
        <w:rPr>
          <w:rFonts w:cstheme="minorHAnsi"/>
          <w:i/>
          <w:iCs/>
        </w:rPr>
        <w:t>scheme therefore conflicts with Policy DMCI 7 of the Hillingdon Local Plan: Part Two</w:t>
      </w:r>
      <w:r>
        <w:rPr>
          <w:rFonts w:cstheme="minorHAnsi"/>
          <w:i/>
          <w:iCs/>
        </w:rPr>
        <w:t xml:space="preserve"> </w:t>
      </w:r>
      <w:r w:rsidRPr="00206B52">
        <w:rPr>
          <w:rFonts w:cstheme="minorHAnsi"/>
          <w:i/>
          <w:iCs/>
        </w:rPr>
        <w:t>Development management Policies (2020), the London Borough of Hillingdon</w:t>
      </w:r>
      <w:r>
        <w:rPr>
          <w:rFonts w:cstheme="minorHAnsi"/>
          <w:i/>
          <w:iCs/>
        </w:rPr>
        <w:t xml:space="preserve"> </w:t>
      </w:r>
      <w:r w:rsidRPr="00206B52">
        <w:rPr>
          <w:rFonts w:cstheme="minorHAnsi"/>
          <w:i/>
          <w:iCs/>
        </w:rPr>
        <w:t>Supplementary Planning Document on Planning Obligations, Policy DF1 of the</w:t>
      </w:r>
      <w:r>
        <w:rPr>
          <w:rFonts w:cstheme="minorHAnsi"/>
          <w:i/>
          <w:iCs/>
        </w:rPr>
        <w:t xml:space="preserve"> </w:t>
      </w:r>
      <w:r w:rsidRPr="00206B52">
        <w:rPr>
          <w:rFonts w:cstheme="minorHAnsi"/>
          <w:i/>
          <w:iCs/>
        </w:rPr>
        <w:t>London Plan Intend to Publish Version (2019), Policy 8.2 of the London Plan (2016)</w:t>
      </w:r>
      <w:r>
        <w:rPr>
          <w:rFonts w:cstheme="minorHAnsi"/>
          <w:i/>
          <w:iCs/>
        </w:rPr>
        <w:t xml:space="preserve"> </w:t>
      </w:r>
      <w:r w:rsidRPr="00206B52">
        <w:rPr>
          <w:rFonts w:cstheme="minorHAnsi"/>
          <w:i/>
          <w:iCs/>
        </w:rPr>
        <w:t>and paras 54-57 of the NPPF 2019.</w:t>
      </w:r>
    </w:p>
    <w:p w14:paraId="15833AD4" w14:textId="77777777" w:rsidR="00D21DDC" w:rsidRDefault="00D21DDC" w:rsidP="00D21DDC">
      <w:pPr>
        <w:pStyle w:val="ListParagraph"/>
        <w:rPr>
          <w:rFonts w:cstheme="minorHAnsi"/>
        </w:rPr>
      </w:pPr>
    </w:p>
    <w:p w14:paraId="724318C4" w14:textId="2379C09D" w:rsidR="00D21DDC" w:rsidRDefault="000F43B6" w:rsidP="00D21DDC">
      <w:pPr>
        <w:pStyle w:val="ListParagraph"/>
        <w:numPr>
          <w:ilvl w:val="0"/>
          <w:numId w:val="16"/>
        </w:numPr>
        <w:rPr>
          <w:rFonts w:cstheme="minorHAnsi"/>
        </w:rPr>
      </w:pPr>
      <w:r>
        <w:rPr>
          <w:rFonts w:cstheme="minorHAnsi"/>
        </w:rPr>
        <w:t>The Committee report and drawings for the scheme subject to a resolution to approve are contained in Appendix 1.</w:t>
      </w:r>
    </w:p>
    <w:p w14:paraId="10DF1D22" w14:textId="77777777" w:rsidR="00E73EDF" w:rsidRDefault="00E73EDF" w:rsidP="00E73EDF">
      <w:pPr>
        <w:pStyle w:val="ListParagraph"/>
        <w:rPr>
          <w:rFonts w:cstheme="minorHAnsi"/>
        </w:rPr>
      </w:pPr>
    </w:p>
    <w:p w14:paraId="5E85860B" w14:textId="5A6D4983" w:rsidR="000F43B6" w:rsidRDefault="00E73EDF" w:rsidP="00D21DDC">
      <w:pPr>
        <w:pStyle w:val="ListParagraph"/>
        <w:numPr>
          <w:ilvl w:val="0"/>
          <w:numId w:val="16"/>
        </w:numPr>
        <w:rPr>
          <w:rFonts w:cstheme="minorHAnsi"/>
        </w:rPr>
      </w:pPr>
      <w:r>
        <w:rPr>
          <w:rFonts w:cstheme="minorHAnsi"/>
        </w:rPr>
        <w:t>Appendix 2 contains the Committee report for the scheme subject to this appeal.</w:t>
      </w:r>
    </w:p>
    <w:p w14:paraId="2DAA0E38" w14:textId="77777777" w:rsidR="00E73EDF" w:rsidRPr="00E73EDF" w:rsidRDefault="00E73EDF" w:rsidP="00E73EDF">
      <w:pPr>
        <w:rPr>
          <w:rFonts w:cstheme="minorHAnsi"/>
        </w:rPr>
      </w:pPr>
    </w:p>
    <w:p w14:paraId="01CE8700" w14:textId="7B34DA6C" w:rsidR="00E73EDF" w:rsidRDefault="00E73EDF" w:rsidP="00D21DDC">
      <w:pPr>
        <w:pStyle w:val="ListParagraph"/>
        <w:numPr>
          <w:ilvl w:val="0"/>
          <w:numId w:val="16"/>
        </w:numPr>
        <w:rPr>
          <w:rFonts w:cstheme="minorHAnsi"/>
        </w:rPr>
      </w:pPr>
      <w:r>
        <w:rPr>
          <w:rFonts w:cstheme="minorHAnsi"/>
        </w:rPr>
        <w:t xml:space="preserve">With regard to the second reason for refusal, a </w:t>
      </w:r>
      <w:r w:rsidR="0066310C">
        <w:rPr>
          <w:rFonts w:cstheme="minorHAnsi"/>
        </w:rPr>
        <w:t>S106</w:t>
      </w:r>
      <w:r>
        <w:rPr>
          <w:rFonts w:cstheme="minorHAnsi"/>
        </w:rPr>
        <w:t xml:space="preserve"> will be submitted in relation to all those matters listed</w:t>
      </w:r>
      <w:r w:rsidR="0066310C">
        <w:rPr>
          <w:rFonts w:cstheme="minorHAnsi"/>
        </w:rPr>
        <w:t>.</w:t>
      </w:r>
    </w:p>
    <w:p w14:paraId="51FDC555" w14:textId="77777777" w:rsidR="00E73EDF" w:rsidRPr="00E73EDF" w:rsidRDefault="00E73EDF" w:rsidP="00E73EDF">
      <w:pPr>
        <w:rPr>
          <w:rFonts w:cstheme="minorHAnsi"/>
        </w:rPr>
      </w:pPr>
    </w:p>
    <w:p w14:paraId="00F6B4FB" w14:textId="7AF2C776" w:rsidR="00E73EDF" w:rsidRDefault="00E73EDF" w:rsidP="00D21DDC">
      <w:pPr>
        <w:pStyle w:val="ListParagraph"/>
        <w:numPr>
          <w:ilvl w:val="0"/>
          <w:numId w:val="16"/>
        </w:numPr>
        <w:rPr>
          <w:rFonts w:cstheme="minorHAnsi"/>
        </w:rPr>
      </w:pPr>
      <w:r>
        <w:rPr>
          <w:rFonts w:cstheme="minorHAnsi"/>
        </w:rPr>
        <w:t>The remainder of the Statement addresses the first reason for refusal.</w:t>
      </w:r>
    </w:p>
    <w:p w14:paraId="3FE98B2F" w14:textId="77777777" w:rsidR="00E73EDF" w:rsidRPr="00E73EDF" w:rsidRDefault="00E73EDF" w:rsidP="00E73EDF">
      <w:pPr>
        <w:pStyle w:val="ListParagraph"/>
        <w:rPr>
          <w:rFonts w:cstheme="minorHAnsi"/>
        </w:rPr>
      </w:pPr>
    </w:p>
    <w:p w14:paraId="4EDAEE01" w14:textId="24ACA959" w:rsidR="00E73EDF" w:rsidRDefault="00E73EDF" w:rsidP="00D21DDC">
      <w:pPr>
        <w:pStyle w:val="ListParagraph"/>
        <w:numPr>
          <w:ilvl w:val="0"/>
          <w:numId w:val="16"/>
        </w:numPr>
        <w:rPr>
          <w:rFonts w:cstheme="minorHAnsi"/>
        </w:rPr>
      </w:pPr>
      <w:r>
        <w:rPr>
          <w:rFonts w:cstheme="minorHAnsi"/>
        </w:rPr>
        <w:t>Before looking specifically at the issues raised in the decision letter and committee report, the only difference between the two schemes is the appeal scheme has one additional storey. We do not consider this additional storey results in a scheme that is detrimental to the street</w:t>
      </w:r>
      <w:r w:rsidR="00CD498A">
        <w:rPr>
          <w:rFonts w:cstheme="minorHAnsi"/>
        </w:rPr>
        <w:t xml:space="preserve"> </w:t>
      </w:r>
      <w:r>
        <w:rPr>
          <w:rFonts w:cstheme="minorHAnsi"/>
        </w:rPr>
        <w:t>scene.</w:t>
      </w:r>
    </w:p>
    <w:p w14:paraId="744574FE" w14:textId="77777777" w:rsidR="00E73EDF" w:rsidRPr="00E73EDF" w:rsidRDefault="00E73EDF" w:rsidP="00E73EDF">
      <w:pPr>
        <w:pStyle w:val="ListParagraph"/>
        <w:rPr>
          <w:rFonts w:cstheme="minorHAnsi"/>
        </w:rPr>
      </w:pPr>
    </w:p>
    <w:p w14:paraId="36018B30" w14:textId="71E74BFD" w:rsidR="00E73EDF" w:rsidRDefault="00C87AE1" w:rsidP="00D21DDC">
      <w:pPr>
        <w:pStyle w:val="ListParagraph"/>
        <w:numPr>
          <w:ilvl w:val="0"/>
          <w:numId w:val="16"/>
        </w:numPr>
        <w:rPr>
          <w:rFonts w:cstheme="minorHAnsi"/>
        </w:rPr>
      </w:pPr>
      <w:r>
        <w:rPr>
          <w:rFonts w:cstheme="minorHAnsi"/>
        </w:rPr>
        <w:t>The following is a summary of the issues as set out in the Committee report:</w:t>
      </w:r>
    </w:p>
    <w:p w14:paraId="31F46752" w14:textId="77777777" w:rsidR="00C87AE1" w:rsidRPr="00C87AE1" w:rsidRDefault="00C87AE1" w:rsidP="00C87AE1">
      <w:pPr>
        <w:pStyle w:val="ListParagraph"/>
        <w:rPr>
          <w:rFonts w:cstheme="minorHAnsi"/>
        </w:rPr>
      </w:pPr>
    </w:p>
    <w:p w14:paraId="515B2DAF" w14:textId="2784A565" w:rsidR="00C87AE1" w:rsidRDefault="00CD498A" w:rsidP="00CD498A">
      <w:pPr>
        <w:pStyle w:val="ListParagraph"/>
        <w:numPr>
          <w:ilvl w:val="0"/>
          <w:numId w:val="17"/>
        </w:numPr>
        <w:rPr>
          <w:rFonts w:cstheme="minorHAnsi"/>
        </w:rPr>
      </w:pPr>
      <w:r>
        <w:rPr>
          <w:rFonts w:cstheme="minorHAnsi"/>
        </w:rPr>
        <w:t>Excessive density.</w:t>
      </w:r>
    </w:p>
    <w:p w14:paraId="5178227D" w14:textId="26C9D28F" w:rsidR="00CD498A" w:rsidRDefault="00CD498A" w:rsidP="00CD498A">
      <w:pPr>
        <w:pStyle w:val="ListParagraph"/>
        <w:numPr>
          <w:ilvl w:val="0"/>
          <w:numId w:val="17"/>
        </w:numPr>
        <w:rPr>
          <w:rFonts w:cstheme="minorHAnsi"/>
        </w:rPr>
      </w:pPr>
      <w:r>
        <w:rPr>
          <w:rFonts w:cstheme="minorHAnsi"/>
        </w:rPr>
        <w:t>Footprint dominates the street scene.</w:t>
      </w:r>
    </w:p>
    <w:p w14:paraId="510E2A96" w14:textId="69BA61C5" w:rsidR="00CD498A" w:rsidRDefault="00CD498A" w:rsidP="00CD498A">
      <w:pPr>
        <w:pStyle w:val="ListParagraph"/>
        <w:numPr>
          <w:ilvl w:val="0"/>
          <w:numId w:val="17"/>
        </w:numPr>
        <w:rPr>
          <w:rFonts w:cstheme="minorHAnsi"/>
        </w:rPr>
      </w:pPr>
      <w:r>
        <w:rPr>
          <w:rFonts w:cstheme="minorHAnsi"/>
        </w:rPr>
        <w:t xml:space="preserve">5 storeys is </w:t>
      </w:r>
      <w:r w:rsidRPr="00CD498A">
        <w:rPr>
          <w:rFonts w:cstheme="minorHAnsi"/>
          <w:i/>
          <w:iCs/>
        </w:rPr>
        <w:t>visually prominent</w:t>
      </w:r>
      <w:r w:rsidR="00F013B3">
        <w:rPr>
          <w:rFonts w:cstheme="minorHAnsi"/>
          <w:i/>
          <w:iCs/>
        </w:rPr>
        <w:t xml:space="preserve"> </w:t>
      </w:r>
      <w:r w:rsidR="00F013B3">
        <w:rPr>
          <w:rFonts w:cstheme="minorHAnsi"/>
        </w:rPr>
        <w:t>and out of keeping</w:t>
      </w:r>
      <w:r>
        <w:rPr>
          <w:rFonts w:cstheme="minorHAnsi"/>
        </w:rPr>
        <w:t>.</w:t>
      </w:r>
    </w:p>
    <w:p w14:paraId="657F39B9" w14:textId="3006DA45" w:rsidR="00C87AE1" w:rsidRPr="00F013B3" w:rsidRDefault="00C87AE1" w:rsidP="00F013B3">
      <w:pPr>
        <w:ind w:left="1080"/>
        <w:rPr>
          <w:rFonts w:cstheme="minorHAnsi"/>
        </w:rPr>
      </w:pPr>
    </w:p>
    <w:p w14:paraId="605C8CBA" w14:textId="77777777" w:rsidR="005B19DE" w:rsidRPr="005B19DE" w:rsidRDefault="005B19DE" w:rsidP="005B19DE">
      <w:pPr>
        <w:pStyle w:val="ListParagraph"/>
        <w:ind w:left="1440"/>
        <w:rPr>
          <w:rFonts w:cstheme="minorHAnsi"/>
        </w:rPr>
      </w:pPr>
    </w:p>
    <w:p w14:paraId="05429A17" w14:textId="0EE6AD13" w:rsidR="00CD498A" w:rsidRDefault="00CD498A" w:rsidP="00CD498A">
      <w:pPr>
        <w:pStyle w:val="ListParagraph"/>
        <w:numPr>
          <w:ilvl w:val="0"/>
          <w:numId w:val="16"/>
        </w:numPr>
        <w:rPr>
          <w:rFonts w:cstheme="minorHAnsi"/>
        </w:rPr>
      </w:pPr>
      <w:r>
        <w:rPr>
          <w:rFonts w:cstheme="minorHAnsi"/>
        </w:rPr>
        <w:lastRenderedPageBreak/>
        <w:t>The following is a summary of those aspects considered acceptable</w:t>
      </w:r>
      <w:r w:rsidR="00414CF1">
        <w:rPr>
          <w:rFonts w:cstheme="minorHAnsi"/>
        </w:rPr>
        <w:t xml:space="preserve"> by the Committee</w:t>
      </w:r>
      <w:r>
        <w:rPr>
          <w:rFonts w:cstheme="minorHAnsi"/>
        </w:rPr>
        <w:t>:</w:t>
      </w:r>
    </w:p>
    <w:p w14:paraId="428A6C0C" w14:textId="77777777" w:rsidR="00414CF1" w:rsidRDefault="00414CF1" w:rsidP="00414CF1">
      <w:pPr>
        <w:pStyle w:val="ListParagraph"/>
        <w:rPr>
          <w:rFonts w:cstheme="minorHAnsi"/>
        </w:rPr>
      </w:pPr>
    </w:p>
    <w:p w14:paraId="60168B24" w14:textId="67257E20" w:rsidR="00CD498A" w:rsidRDefault="00CD498A" w:rsidP="00CD498A">
      <w:pPr>
        <w:pStyle w:val="ListParagraph"/>
        <w:numPr>
          <w:ilvl w:val="0"/>
          <w:numId w:val="18"/>
        </w:numPr>
        <w:rPr>
          <w:rFonts w:cstheme="minorHAnsi"/>
        </w:rPr>
      </w:pPr>
      <w:r>
        <w:rPr>
          <w:rFonts w:cstheme="minorHAnsi"/>
        </w:rPr>
        <w:t>Loss of public house.</w:t>
      </w:r>
    </w:p>
    <w:p w14:paraId="24649161" w14:textId="50CEB6FE" w:rsidR="00CD498A" w:rsidRDefault="00CD498A" w:rsidP="00CD498A">
      <w:pPr>
        <w:pStyle w:val="ListParagraph"/>
        <w:numPr>
          <w:ilvl w:val="0"/>
          <w:numId w:val="18"/>
        </w:numPr>
        <w:rPr>
          <w:rFonts w:cstheme="minorHAnsi"/>
        </w:rPr>
      </w:pPr>
      <w:r>
        <w:rPr>
          <w:rFonts w:cstheme="minorHAnsi"/>
        </w:rPr>
        <w:t>Mixed use scheme.</w:t>
      </w:r>
    </w:p>
    <w:p w14:paraId="254F1F6B" w14:textId="67DD8B49" w:rsidR="00CD498A" w:rsidRPr="00CD498A" w:rsidRDefault="00CD498A" w:rsidP="00CD498A">
      <w:pPr>
        <w:pStyle w:val="ListParagraph"/>
        <w:numPr>
          <w:ilvl w:val="0"/>
          <w:numId w:val="18"/>
        </w:numPr>
        <w:rPr>
          <w:rFonts w:cstheme="minorHAnsi"/>
        </w:rPr>
      </w:pPr>
      <w:r>
        <w:rPr>
          <w:rFonts w:cstheme="minorHAnsi"/>
        </w:rPr>
        <w:t xml:space="preserve">Ground floor commercial unit which </w:t>
      </w:r>
      <w:r w:rsidRPr="00CD498A">
        <w:rPr>
          <w:rFonts w:cstheme="minorHAnsi"/>
          <w:i/>
          <w:iCs/>
        </w:rPr>
        <w:t>contributes to the vitality and attractiveness of the parade</w:t>
      </w:r>
      <w:r>
        <w:rPr>
          <w:rFonts w:cstheme="minorHAnsi"/>
          <w:i/>
          <w:iCs/>
        </w:rPr>
        <w:t xml:space="preserve"> which is a material consideration that weighs in favour of the development</w:t>
      </w:r>
      <w:r w:rsidRPr="00CD498A">
        <w:rPr>
          <w:rFonts w:cstheme="minorHAnsi"/>
          <w:i/>
          <w:iCs/>
        </w:rPr>
        <w:t>.</w:t>
      </w:r>
    </w:p>
    <w:p w14:paraId="3935604A" w14:textId="66E80847" w:rsidR="00CD498A" w:rsidRDefault="00CD498A" w:rsidP="00CD498A">
      <w:pPr>
        <w:pStyle w:val="ListParagraph"/>
        <w:numPr>
          <w:ilvl w:val="0"/>
          <w:numId w:val="18"/>
        </w:numPr>
        <w:rPr>
          <w:rFonts w:cstheme="minorHAnsi"/>
        </w:rPr>
      </w:pPr>
      <w:r w:rsidRPr="00CD498A">
        <w:rPr>
          <w:rFonts w:cstheme="minorHAnsi"/>
        </w:rPr>
        <w:t>Unit mix including the number of family sized dwellings.</w:t>
      </w:r>
    </w:p>
    <w:p w14:paraId="6E928014" w14:textId="5F8E681B" w:rsidR="00CD498A" w:rsidRDefault="00CD498A" w:rsidP="00CD498A">
      <w:pPr>
        <w:pStyle w:val="ListParagraph"/>
        <w:numPr>
          <w:ilvl w:val="0"/>
          <w:numId w:val="18"/>
        </w:numPr>
        <w:rPr>
          <w:rFonts w:cstheme="minorHAnsi"/>
        </w:rPr>
      </w:pPr>
      <w:r>
        <w:rPr>
          <w:rFonts w:cstheme="minorHAnsi"/>
        </w:rPr>
        <w:t>The 2 houses.</w:t>
      </w:r>
    </w:p>
    <w:p w14:paraId="753CCC71" w14:textId="53D426BF" w:rsidR="00CD498A" w:rsidRDefault="00CD498A" w:rsidP="00CD498A">
      <w:pPr>
        <w:pStyle w:val="ListParagraph"/>
        <w:numPr>
          <w:ilvl w:val="0"/>
          <w:numId w:val="18"/>
        </w:numPr>
        <w:rPr>
          <w:rFonts w:cstheme="minorHAnsi"/>
        </w:rPr>
      </w:pPr>
      <w:r>
        <w:rPr>
          <w:rFonts w:cstheme="minorHAnsi"/>
        </w:rPr>
        <w:t>Daylight and sunlight levels for neighbours.</w:t>
      </w:r>
    </w:p>
    <w:p w14:paraId="0CDF4D4C" w14:textId="32F46FE8" w:rsidR="00CD498A" w:rsidRDefault="00CD498A" w:rsidP="00CD498A">
      <w:pPr>
        <w:pStyle w:val="ListParagraph"/>
        <w:numPr>
          <w:ilvl w:val="0"/>
          <w:numId w:val="18"/>
        </w:numPr>
        <w:rPr>
          <w:rFonts w:cstheme="minorHAnsi"/>
        </w:rPr>
      </w:pPr>
      <w:r>
        <w:rPr>
          <w:rFonts w:cstheme="minorHAnsi"/>
        </w:rPr>
        <w:t>Privacy levels for neighbours.</w:t>
      </w:r>
    </w:p>
    <w:p w14:paraId="6F068C58" w14:textId="33AAA79D" w:rsidR="00CD498A" w:rsidRDefault="00CD498A" w:rsidP="00CD498A">
      <w:pPr>
        <w:pStyle w:val="ListParagraph"/>
        <w:numPr>
          <w:ilvl w:val="0"/>
          <w:numId w:val="18"/>
        </w:numPr>
        <w:rPr>
          <w:rFonts w:cstheme="minorHAnsi"/>
        </w:rPr>
      </w:pPr>
      <w:r>
        <w:rPr>
          <w:rFonts w:cstheme="minorHAnsi"/>
        </w:rPr>
        <w:t>Quality of proposed accommodation (space standards, daylight and sunlight, outlook, privacy and dual aspect).</w:t>
      </w:r>
    </w:p>
    <w:p w14:paraId="1032BB2C" w14:textId="3979AEA9" w:rsidR="00CD498A" w:rsidRDefault="00820601" w:rsidP="00CD498A">
      <w:pPr>
        <w:pStyle w:val="ListParagraph"/>
        <w:numPr>
          <w:ilvl w:val="0"/>
          <w:numId w:val="18"/>
        </w:numPr>
        <w:rPr>
          <w:rFonts w:cstheme="minorHAnsi"/>
        </w:rPr>
      </w:pPr>
      <w:r>
        <w:rPr>
          <w:rFonts w:cstheme="minorHAnsi"/>
        </w:rPr>
        <w:t xml:space="preserve">Proposed quantum </w:t>
      </w:r>
      <w:r w:rsidR="00414CF1">
        <w:rPr>
          <w:rFonts w:cstheme="minorHAnsi"/>
        </w:rPr>
        <w:t xml:space="preserve">and location </w:t>
      </w:r>
      <w:r>
        <w:rPr>
          <w:rFonts w:cstheme="minorHAnsi"/>
        </w:rPr>
        <w:t>of amenity space (private and communal).</w:t>
      </w:r>
    </w:p>
    <w:p w14:paraId="388B51EA" w14:textId="4EE5F40A" w:rsidR="00820601" w:rsidRDefault="00820601" w:rsidP="00CD498A">
      <w:pPr>
        <w:pStyle w:val="ListParagraph"/>
        <w:numPr>
          <w:ilvl w:val="0"/>
          <w:numId w:val="18"/>
        </w:numPr>
        <w:rPr>
          <w:rFonts w:cstheme="minorHAnsi"/>
        </w:rPr>
      </w:pPr>
      <w:r>
        <w:rPr>
          <w:rFonts w:cstheme="minorHAnsi"/>
        </w:rPr>
        <w:t>Car and cycle parking level and location.</w:t>
      </w:r>
    </w:p>
    <w:p w14:paraId="748E214F" w14:textId="5EB52B3E" w:rsidR="00820601" w:rsidRDefault="00820601" w:rsidP="00CD498A">
      <w:pPr>
        <w:pStyle w:val="ListParagraph"/>
        <w:numPr>
          <w:ilvl w:val="0"/>
          <w:numId w:val="18"/>
        </w:numPr>
        <w:rPr>
          <w:rFonts w:cstheme="minorHAnsi"/>
        </w:rPr>
      </w:pPr>
      <w:r>
        <w:rPr>
          <w:rFonts w:cstheme="minorHAnsi"/>
        </w:rPr>
        <w:t>Servicing including refuse collection.</w:t>
      </w:r>
    </w:p>
    <w:p w14:paraId="4E988DDE" w14:textId="662A47E3" w:rsidR="00820601" w:rsidRDefault="00414CF1" w:rsidP="00CD498A">
      <w:pPr>
        <w:pStyle w:val="ListParagraph"/>
        <w:numPr>
          <w:ilvl w:val="0"/>
          <w:numId w:val="18"/>
        </w:numPr>
        <w:rPr>
          <w:rFonts w:cstheme="minorHAnsi"/>
        </w:rPr>
      </w:pPr>
      <w:r>
        <w:rPr>
          <w:rFonts w:cstheme="minorHAnsi"/>
        </w:rPr>
        <w:t>Disabled access.</w:t>
      </w:r>
    </w:p>
    <w:p w14:paraId="7F14BDC1" w14:textId="5084E044" w:rsidR="00414CF1" w:rsidRDefault="00414CF1" w:rsidP="00CD498A">
      <w:pPr>
        <w:pStyle w:val="ListParagraph"/>
        <w:numPr>
          <w:ilvl w:val="0"/>
          <w:numId w:val="18"/>
        </w:numPr>
        <w:rPr>
          <w:rFonts w:cstheme="minorHAnsi"/>
        </w:rPr>
      </w:pPr>
      <w:r>
        <w:rPr>
          <w:rFonts w:cstheme="minorHAnsi"/>
        </w:rPr>
        <w:t>No affordable housing.</w:t>
      </w:r>
    </w:p>
    <w:p w14:paraId="149C6872" w14:textId="6979A4A0" w:rsidR="00414CF1" w:rsidRDefault="00414CF1" w:rsidP="00CD498A">
      <w:pPr>
        <w:pStyle w:val="ListParagraph"/>
        <w:numPr>
          <w:ilvl w:val="0"/>
          <w:numId w:val="18"/>
        </w:numPr>
        <w:rPr>
          <w:rFonts w:cstheme="minorHAnsi"/>
        </w:rPr>
      </w:pPr>
      <w:r>
        <w:rPr>
          <w:rFonts w:cstheme="minorHAnsi"/>
        </w:rPr>
        <w:t>Landscaping proposals.</w:t>
      </w:r>
    </w:p>
    <w:p w14:paraId="2A65548F" w14:textId="4DDBD857" w:rsidR="00414CF1" w:rsidRDefault="00414CF1" w:rsidP="008C1308">
      <w:pPr>
        <w:pStyle w:val="ListParagraph"/>
        <w:numPr>
          <w:ilvl w:val="0"/>
          <w:numId w:val="18"/>
        </w:numPr>
        <w:rPr>
          <w:rFonts w:cstheme="minorHAnsi"/>
        </w:rPr>
      </w:pPr>
      <w:r>
        <w:rPr>
          <w:rFonts w:cstheme="minorHAnsi"/>
        </w:rPr>
        <w:t>Renewable energy and sustainability proposals.</w:t>
      </w:r>
    </w:p>
    <w:p w14:paraId="06075A8D" w14:textId="52189486" w:rsidR="00BB7F80" w:rsidRDefault="00BB7F80" w:rsidP="00BB7F80">
      <w:pPr>
        <w:rPr>
          <w:rFonts w:cstheme="minorHAnsi"/>
        </w:rPr>
      </w:pPr>
    </w:p>
    <w:p w14:paraId="1406C0AF" w14:textId="44BCD685" w:rsidR="00BB7F80" w:rsidRPr="00BB7F80" w:rsidRDefault="00BB7F80" w:rsidP="00BB7F80">
      <w:pPr>
        <w:ind w:left="360"/>
        <w:rPr>
          <w:rFonts w:cstheme="minorHAnsi"/>
          <w:b/>
          <w:bCs/>
        </w:rPr>
      </w:pPr>
      <w:r w:rsidRPr="00BB7F80">
        <w:rPr>
          <w:rFonts w:cstheme="minorHAnsi"/>
          <w:b/>
          <w:bCs/>
        </w:rPr>
        <w:t>Excessive density</w:t>
      </w:r>
    </w:p>
    <w:p w14:paraId="722B6878" w14:textId="77777777" w:rsidR="00CD498A" w:rsidRPr="00CD498A" w:rsidRDefault="00CD498A" w:rsidP="00CD498A">
      <w:pPr>
        <w:pStyle w:val="ListParagraph"/>
        <w:rPr>
          <w:rFonts w:cstheme="minorHAnsi"/>
        </w:rPr>
      </w:pPr>
    </w:p>
    <w:p w14:paraId="6A80F0F7" w14:textId="772C9AE7" w:rsidR="00CD498A" w:rsidRDefault="008F64A5" w:rsidP="00D21DDC">
      <w:pPr>
        <w:pStyle w:val="ListParagraph"/>
        <w:numPr>
          <w:ilvl w:val="0"/>
          <w:numId w:val="16"/>
        </w:numPr>
        <w:rPr>
          <w:rFonts w:cstheme="minorHAnsi"/>
        </w:rPr>
      </w:pPr>
      <w:r>
        <w:rPr>
          <w:rFonts w:cstheme="minorHAnsi"/>
        </w:rPr>
        <w:t xml:space="preserve">With regard to the density, </w:t>
      </w:r>
      <w:r w:rsidR="008C1308">
        <w:rPr>
          <w:rFonts w:cstheme="minorHAnsi"/>
        </w:rPr>
        <w:t>the Committee report refers to Policy 3.4 of the London Plan. This states that based on the matrix in Table 3.2, for this urban setting a density of between 55 and 145 units per hectare (u/ha) or 200 and 450 habitable rooms per hectare (hr/ha) should be sought.</w:t>
      </w:r>
    </w:p>
    <w:p w14:paraId="053F77EC" w14:textId="77777777" w:rsidR="008C1308" w:rsidRDefault="008C1308" w:rsidP="008C1308">
      <w:pPr>
        <w:pStyle w:val="ListParagraph"/>
        <w:rPr>
          <w:rFonts w:cstheme="minorHAnsi"/>
        </w:rPr>
      </w:pPr>
    </w:p>
    <w:p w14:paraId="0894D354" w14:textId="13092C31" w:rsidR="008C1308" w:rsidRDefault="008C1308" w:rsidP="00D21DDC">
      <w:pPr>
        <w:pStyle w:val="ListParagraph"/>
        <w:numPr>
          <w:ilvl w:val="0"/>
          <w:numId w:val="16"/>
        </w:numPr>
        <w:rPr>
          <w:rFonts w:cstheme="minorHAnsi"/>
        </w:rPr>
      </w:pPr>
      <w:r>
        <w:rPr>
          <w:rFonts w:cstheme="minorHAnsi"/>
        </w:rPr>
        <w:t>Paragraph 3.28 of the London Plan states:</w:t>
      </w:r>
    </w:p>
    <w:p w14:paraId="61F10A7F" w14:textId="6EE850B4" w:rsidR="008C1308" w:rsidRDefault="008C1308" w:rsidP="008C1308">
      <w:pPr>
        <w:pStyle w:val="ListParagraph"/>
        <w:rPr>
          <w:rFonts w:cstheme="minorHAnsi"/>
        </w:rPr>
      </w:pPr>
    </w:p>
    <w:p w14:paraId="616CFD87" w14:textId="227CCB76" w:rsidR="008C1308" w:rsidRPr="00032716" w:rsidRDefault="008C1308" w:rsidP="008C1308">
      <w:pPr>
        <w:autoSpaceDE w:val="0"/>
        <w:autoSpaceDN w:val="0"/>
        <w:adjustRightInd w:val="0"/>
        <w:ind w:left="1440"/>
        <w:rPr>
          <w:rFonts w:cstheme="minorHAnsi"/>
        </w:rPr>
      </w:pPr>
      <w:r w:rsidRPr="008C1308">
        <w:rPr>
          <w:rFonts w:cstheme="minorHAnsi"/>
          <w:i/>
          <w:iCs/>
        </w:rPr>
        <w:t>A rigorous appreciation of housing density is crucial to realising the optimum</w:t>
      </w:r>
      <w:r>
        <w:rPr>
          <w:rFonts w:cstheme="minorHAnsi"/>
          <w:i/>
          <w:iCs/>
        </w:rPr>
        <w:t xml:space="preserve"> </w:t>
      </w:r>
      <w:r w:rsidRPr="008C1308">
        <w:rPr>
          <w:rFonts w:cstheme="minorHAnsi"/>
          <w:i/>
          <w:iCs/>
        </w:rPr>
        <w:t xml:space="preserve">potential of sites, </w:t>
      </w:r>
      <w:r w:rsidRPr="008C1308">
        <w:rPr>
          <w:rFonts w:cstheme="minorHAnsi"/>
          <w:b/>
          <w:bCs/>
          <w:i/>
          <w:iCs/>
        </w:rPr>
        <w:t>but it is only the start of planning housing development, not the end. It is not appropriate to apply Table 3.2 mechanistically</w:t>
      </w:r>
      <w:r w:rsidRPr="008C1308">
        <w:rPr>
          <w:rFonts w:cstheme="minorHAnsi"/>
          <w:i/>
          <w:iCs/>
        </w:rPr>
        <w:t>. Its density ranges</w:t>
      </w:r>
      <w:r>
        <w:rPr>
          <w:rFonts w:cstheme="minorHAnsi"/>
          <w:i/>
          <w:iCs/>
        </w:rPr>
        <w:t xml:space="preserve"> </w:t>
      </w:r>
      <w:r w:rsidRPr="008C1308">
        <w:rPr>
          <w:rFonts w:cstheme="minorHAnsi"/>
          <w:i/>
          <w:iCs/>
        </w:rPr>
        <w:t>for particular types of location are broad, enabling account to be taken of other</w:t>
      </w:r>
      <w:r>
        <w:rPr>
          <w:rFonts w:cstheme="minorHAnsi"/>
          <w:i/>
          <w:iCs/>
        </w:rPr>
        <w:t xml:space="preserve"> </w:t>
      </w:r>
      <w:r w:rsidRPr="008C1308">
        <w:rPr>
          <w:rFonts w:cstheme="minorHAnsi"/>
          <w:i/>
          <w:iCs/>
        </w:rPr>
        <w:t>factors relevant to optimising potential – local context, design and transport</w:t>
      </w:r>
      <w:r>
        <w:rPr>
          <w:rFonts w:cstheme="minorHAnsi"/>
          <w:i/>
          <w:iCs/>
        </w:rPr>
        <w:t xml:space="preserve"> </w:t>
      </w:r>
      <w:r w:rsidRPr="008C1308">
        <w:rPr>
          <w:rFonts w:cstheme="minorHAnsi"/>
          <w:i/>
          <w:iCs/>
        </w:rPr>
        <w:t>capacity are particularly important, as well as</w:t>
      </w:r>
      <w:r w:rsidR="00032716">
        <w:rPr>
          <w:rFonts w:cstheme="minorHAnsi"/>
          <w:i/>
          <w:iCs/>
        </w:rPr>
        <w:t xml:space="preserve">….. </w:t>
      </w:r>
      <w:r w:rsidR="00032716">
        <w:rPr>
          <w:rFonts w:cstheme="minorHAnsi"/>
        </w:rPr>
        <w:t>(my emphasis).</w:t>
      </w:r>
    </w:p>
    <w:p w14:paraId="1AAB7491" w14:textId="77777777" w:rsidR="008C1308" w:rsidRDefault="008C1308" w:rsidP="008C1308">
      <w:pPr>
        <w:pStyle w:val="ListParagraph"/>
        <w:rPr>
          <w:rFonts w:cstheme="minorHAnsi"/>
        </w:rPr>
      </w:pPr>
    </w:p>
    <w:p w14:paraId="2BDC7643" w14:textId="7D18FA1B" w:rsidR="008C1308" w:rsidRDefault="00032716" w:rsidP="00D21DDC">
      <w:pPr>
        <w:pStyle w:val="ListParagraph"/>
        <w:numPr>
          <w:ilvl w:val="0"/>
          <w:numId w:val="16"/>
        </w:numPr>
        <w:rPr>
          <w:rFonts w:cstheme="minorHAnsi"/>
        </w:rPr>
      </w:pPr>
      <w:r>
        <w:rPr>
          <w:rFonts w:cstheme="minorHAnsi"/>
        </w:rPr>
        <w:t>Paragraph 5.66 of Hillingdon’s Local Plan Part 2 – Development Management Policies states in relation to density that it:</w:t>
      </w:r>
    </w:p>
    <w:p w14:paraId="3337D226" w14:textId="77777777" w:rsidR="00032716" w:rsidRDefault="00032716" w:rsidP="00032716">
      <w:pPr>
        <w:pStyle w:val="ListParagraph"/>
        <w:rPr>
          <w:rFonts w:cstheme="minorHAnsi"/>
        </w:rPr>
      </w:pPr>
    </w:p>
    <w:p w14:paraId="5DB04E29" w14:textId="2FEA582B" w:rsidR="00032716" w:rsidRPr="00032716" w:rsidRDefault="00032716" w:rsidP="00032716">
      <w:pPr>
        <w:pStyle w:val="ListParagraph"/>
        <w:ind w:left="1440"/>
        <w:rPr>
          <w:rFonts w:cstheme="minorHAnsi"/>
          <w:i/>
          <w:iCs/>
        </w:rPr>
      </w:pPr>
      <w:r>
        <w:rPr>
          <w:i/>
          <w:iCs/>
        </w:rPr>
        <w:t>…</w:t>
      </w:r>
      <w:r w:rsidRPr="00032716">
        <w:rPr>
          <w:i/>
          <w:iCs/>
        </w:rPr>
        <w:t>represents a starting point for discussions on the issue of residential density, which should ultimately be determined by a design led approach.</w:t>
      </w:r>
    </w:p>
    <w:p w14:paraId="6EAD6E50" w14:textId="77777777" w:rsidR="00032716" w:rsidRPr="00032716" w:rsidRDefault="00032716" w:rsidP="00032716">
      <w:pPr>
        <w:rPr>
          <w:rFonts w:cstheme="minorHAnsi"/>
        </w:rPr>
      </w:pPr>
    </w:p>
    <w:p w14:paraId="38596A78" w14:textId="1EA55628" w:rsidR="00032716" w:rsidRDefault="00F44292" w:rsidP="00D21DDC">
      <w:pPr>
        <w:pStyle w:val="ListParagraph"/>
        <w:numPr>
          <w:ilvl w:val="0"/>
          <w:numId w:val="16"/>
        </w:numPr>
        <w:rPr>
          <w:rFonts w:cstheme="minorHAnsi"/>
        </w:rPr>
      </w:pPr>
      <w:r>
        <w:rPr>
          <w:rFonts w:cstheme="minorHAnsi"/>
        </w:rPr>
        <w:lastRenderedPageBreak/>
        <w:t xml:space="preserve">The soon to be adopted London Plan moves away from a density matrix. Rather it relies on a design led approach </w:t>
      </w:r>
      <w:r w:rsidR="00B04E6B">
        <w:rPr>
          <w:rFonts w:cstheme="minorHAnsi"/>
        </w:rPr>
        <w:t>primarily</w:t>
      </w:r>
      <w:r>
        <w:rPr>
          <w:rFonts w:cstheme="minorHAnsi"/>
        </w:rPr>
        <w:t xml:space="preserve"> set out in Polic</w:t>
      </w:r>
      <w:r w:rsidR="00B04E6B">
        <w:rPr>
          <w:rFonts w:cstheme="minorHAnsi"/>
        </w:rPr>
        <w:t>ies</w:t>
      </w:r>
      <w:r>
        <w:rPr>
          <w:rFonts w:cstheme="minorHAnsi"/>
        </w:rPr>
        <w:t xml:space="preserve"> D3</w:t>
      </w:r>
      <w:r w:rsidR="00B04E6B">
        <w:rPr>
          <w:rFonts w:cstheme="minorHAnsi"/>
        </w:rPr>
        <w:t>, D4, D5 and D6</w:t>
      </w:r>
      <w:r>
        <w:rPr>
          <w:rFonts w:cstheme="minorHAnsi"/>
        </w:rPr>
        <w:t>.</w:t>
      </w:r>
      <w:r w:rsidR="00B04E6B">
        <w:rPr>
          <w:rFonts w:cstheme="minorHAnsi"/>
        </w:rPr>
        <w:t xml:space="preserve"> Collectively, these policies seek to optimise site capacity taking account of factors such as room and unit sizes, internal storage, sufficient headroom, dual aspect, access to daylight an</w:t>
      </w:r>
      <w:r w:rsidR="00BB7F80">
        <w:rPr>
          <w:rFonts w:cstheme="minorHAnsi"/>
        </w:rPr>
        <w:t>d</w:t>
      </w:r>
      <w:r w:rsidR="00B04E6B">
        <w:rPr>
          <w:rFonts w:cstheme="minorHAnsi"/>
        </w:rPr>
        <w:t xml:space="preserve"> sunlight, private and communal amenity space and privacy.</w:t>
      </w:r>
    </w:p>
    <w:p w14:paraId="4E419825" w14:textId="77777777" w:rsidR="00B04E6B" w:rsidRDefault="00B04E6B" w:rsidP="00B04E6B">
      <w:pPr>
        <w:pStyle w:val="ListParagraph"/>
        <w:rPr>
          <w:rFonts w:cstheme="minorHAnsi"/>
        </w:rPr>
      </w:pPr>
    </w:p>
    <w:p w14:paraId="19CC2F18" w14:textId="7E83BAE1" w:rsidR="00B04E6B" w:rsidRDefault="00B04E6B" w:rsidP="00D21DDC">
      <w:pPr>
        <w:pStyle w:val="ListParagraph"/>
        <w:numPr>
          <w:ilvl w:val="0"/>
          <w:numId w:val="16"/>
        </w:numPr>
        <w:rPr>
          <w:rFonts w:cstheme="minorHAnsi"/>
        </w:rPr>
      </w:pPr>
      <w:r>
        <w:rPr>
          <w:rFonts w:cstheme="minorHAnsi"/>
        </w:rPr>
        <w:t xml:space="preserve">The proposed density is 160 u/ha and 469 hr/ha. The proposed u/ha is 10% over the upper limit and the hr/ha is 4% over. It should be noted that the </w:t>
      </w:r>
      <w:r w:rsidR="00BB7F80">
        <w:rPr>
          <w:rFonts w:cstheme="minorHAnsi"/>
        </w:rPr>
        <w:t>12 units scheme has a density of 156 u/ha and 425 hr/ha and as such the u/ha figure exceeds the density matrix. Nevertheless, the Council has taken a flexible view.</w:t>
      </w:r>
    </w:p>
    <w:p w14:paraId="49377107" w14:textId="77777777" w:rsidR="00B04E6B" w:rsidRPr="00B04E6B" w:rsidRDefault="00B04E6B" w:rsidP="00B04E6B">
      <w:pPr>
        <w:pStyle w:val="ListParagraph"/>
        <w:rPr>
          <w:rFonts w:cstheme="minorHAnsi"/>
        </w:rPr>
      </w:pPr>
    </w:p>
    <w:p w14:paraId="724FC562" w14:textId="77777777" w:rsidR="00BB7F80" w:rsidRDefault="00B04E6B" w:rsidP="00D21DDC">
      <w:pPr>
        <w:pStyle w:val="ListParagraph"/>
        <w:numPr>
          <w:ilvl w:val="0"/>
          <w:numId w:val="16"/>
        </w:numPr>
        <w:rPr>
          <w:rFonts w:cstheme="minorHAnsi"/>
        </w:rPr>
      </w:pPr>
      <w:r>
        <w:rPr>
          <w:rFonts w:cstheme="minorHAnsi"/>
        </w:rPr>
        <w:t>Notwithstanding th</w:t>
      </w:r>
      <w:r w:rsidR="00BB7F80">
        <w:rPr>
          <w:rFonts w:cstheme="minorHAnsi"/>
        </w:rPr>
        <w:t xml:space="preserve">e density figures, in relation to all the technical tests (unit sizes, outlook, dual aspect, daylight and sunlight, air quality, noise, energy, car and cycle parking, etc…), the proposal complies. </w:t>
      </w:r>
    </w:p>
    <w:p w14:paraId="79543796" w14:textId="77777777" w:rsidR="00BB7F80" w:rsidRPr="00BB7F80" w:rsidRDefault="00BB7F80" w:rsidP="00BB7F80">
      <w:pPr>
        <w:pStyle w:val="ListParagraph"/>
        <w:rPr>
          <w:rFonts w:cstheme="minorHAnsi"/>
        </w:rPr>
      </w:pPr>
    </w:p>
    <w:p w14:paraId="12B42D4F" w14:textId="457905AA" w:rsidR="00BB7F80" w:rsidRDefault="00BB7F80" w:rsidP="00BB7F80">
      <w:pPr>
        <w:pStyle w:val="ListParagraph"/>
        <w:numPr>
          <w:ilvl w:val="0"/>
          <w:numId w:val="16"/>
        </w:numPr>
        <w:rPr>
          <w:rFonts w:cstheme="minorHAnsi"/>
        </w:rPr>
      </w:pPr>
      <w:r>
        <w:rPr>
          <w:rFonts w:cstheme="minorHAnsi"/>
        </w:rPr>
        <w:t xml:space="preserve">We would therefore argue the proposal </w:t>
      </w:r>
      <w:r>
        <w:rPr>
          <w:rFonts w:cstheme="minorHAnsi"/>
          <w:i/>
          <w:iCs/>
        </w:rPr>
        <w:t xml:space="preserve">optimises </w:t>
      </w:r>
      <w:r>
        <w:rPr>
          <w:rFonts w:cstheme="minorHAnsi"/>
        </w:rPr>
        <w:t>the site’s capacity and represents a well-designed scheme that will enhance the area visually.</w:t>
      </w:r>
    </w:p>
    <w:p w14:paraId="454EF354" w14:textId="77777777" w:rsidR="00BB7F80" w:rsidRPr="00BB7F80" w:rsidRDefault="00BB7F80" w:rsidP="00BB7F80">
      <w:pPr>
        <w:pStyle w:val="ListParagraph"/>
        <w:rPr>
          <w:rFonts w:cstheme="minorHAnsi"/>
        </w:rPr>
      </w:pPr>
    </w:p>
    <w:p w14:paraId="709E092B" w14:textId="327A865B" w:rsidR="00BB7F80" w:rsidRPr="00BB7F80" w:rsidRDefault="00BB7F80" w:rsidP="00BB7F80">
      <w:pPr>
        <w:ind w:firstLine="360"/>
        <w:rPr>
          <w:rFonts w:cstheme="minorHAnsi"/>
          <w:b/>
          <w:bCs/>
        </w:rPr>
      </w:pPr>
      <w:r w:rsidRPr="00BB7F80">
        <w:rPr>
          <w:rFonts w:cstheme="minorHAnsi"/>
          <w:b/>
          <w:bCs/>
        </w:rPr>
        <w:t>Footprint dominates the street scene</w:t>
      </w:r>
    </w:p>
    <w:p w14:paraId="2940B55D" w14:textId="77777777" w:rsidR="00BB7F80" w:rsidRPr="00BB7F80" w:rsidRDefault="00BB7F80" w:rsidP="00BB7F80">
      <w:pPr>
        <w:ind w:firstLine="360"/>
        <w:rPr>
          <w:rFonts w:cstheme="minorHAnsi"/>
        </w:rPr>
      </w:pPr>
    </w:p>
    <w:p w14:paraId="576BD81F" w14:textId="10A1EB4C" w:rsidR="00BB7F80" w:rsidRPr="00BB7F80" w:rsidRDefault="00BB7F80" w:rsidP="00BB7F80">
      <w:pPr>
        <w:pStyle w:val="ListParagraph"/>
        <w:numPr>
          <w:ilvl w:val="0"/>
          <w:numId w:val="16"/>
        </w:numPr>
        <w:rPr>
          <w:rFonts w:cstheme="minorHAnsi"/>
          <w:i/>
          <w:iCs/>
        </w:rPr>
      </w:pPr>
      <w:r>
        <w:rPr>
          <w:rFonts w:cstheme="minorHAnsi"/>
        </w:rPr>
        <w:t>The Committee report states in the 10</w:t>
      </w:r>
      <w:r w:rsidRPr="00BB7F80">
        <w:rPr>
          <w:rFonts w:cstheme="minorHAnsi"/>
          <w:vertAlign w:val="superscript"/>
        </w:rPr>
        <w:t>th</w:t>
      </w:r>
      <w:r>
        <w:rPr>
          <w:rFonts w:cstheme="minorHAnsi"/>
        </w:rPr>
        <w:t xml:space="preserve"> paragraph under the heading </w:t>
      </w:r>
      <w:r w:rsidRPr="00BB7F80">
        <w:rPr>
          <w:rFonts w:cstheme="minorHAnsi"/>
          <w:i/>
          <w:iCs/>
        </w:rPr>
        <w:t>7.07 Impact on the character &amp; appearance of the area</w:t>
      </w:r>
      <w:r>
        <w:rPr>
          <w:rFonts w:cstheme="minorHAnsi"/>
        </w:rPr>
        <w:t xml:space="preserve"> that:</w:t>
      </w:r>
    </w:p>
    <w:p w14:paraId="2ECC7137" w14:textId="74202411" w:rsidR="00BB7F80" w:rsidRDefault="00BB7F80" w:rsidP="00BB7F80">
      <w:pPr>
        <w:pStyle w:val="ListParagraph"/>
        <w:rPr>
          <w:rFonts w:cstheme="minorHAnsi"/>
        </w:rPr>
      </w:pPr>
    </w:p>
    <w:p w14:paraId="10149F42" w14:textId="264FD87E" w:rsidR="00BB7F80" w:rsidRPr="00BB7F80" w:rsidRDefault="00BB7F80" w:rsidP="00BB7F80">
      <w:pPr>
        <w:autoSpaceDE w:val="0"/>
        <w:autoSpaceDN w:val="0"/>
        <w:adjustRightInd w:val="0"/>
        <w:ind w:left="1080"/>
        <w:rPr>
          <w:rFonts w:cstheme="minorHAnsi"/>
          <w:i/>
          <w:iCs/>
        </w:rPr>
      </w:pPr>
      <w:r w:rsidRPr="00BB7F80">
        <w:rPr>
          <w:rFonts w:cstheme="minorHAnsi"/>
          <w:i/>
          <w:iCs/>
        </w:rPr>
        <w:t>As highlighted by the Urban Design Officer, it is</w:t>
      </w:r>
      <w:r>
        <w:rPr>
          <w:rFonts w:cstheme="minorHAnsi"/>
          <w:i/>
          <w:iCs/>
        </w:rPr>
        <w:t xml:space="preserve"> </w:t>
      </w:r>
      <w:r w:rsidRPr="00BB7F80">
        <w:rPr>
          <w:rFonts w:cstheme="minorHAnsi"/>
          <w:i/>
          <w:iCs/>
        </w:rPr>
        <w:t>considered that the proposed building footprint would dominate the streetscene thus</w:t>
      </w:r>
      <w:r>
        <w:rPr>
          <w:rFonts w:cstheme="minorHAnsi"/>
          <w:i/>
          <w:iCs/>
        </w:rPr>
        <w:t xml:space="preserve"> </w:t>
      </w:r>
      <w:r w:rsidRPr="00BB7F80">
        <w:rPr>
          <w:rFonts w:cstheme="minorHAnsi"/>
          <w:i/>
          <w:iCs/>
        </w:rPr>
        <w:t>resulting in an over-development that fails to consider its impact on its setting, particularly</w:t>
      </w:r>
      <w:r>
        <w:rPr>
          <w:rFonts w:cstheme="minorHAnsi"/>
          <w:i/>
          <w:iCs/>
        </w:rPr>
        <w:t xml:space="preserve"> </w:t>
      </w:r>
      <w:r w:rsidRPr="00BB7F80">
        <w:rPr>
          <w:rFonts w:cstheme="minorHAnsi"/>
          <w:i/>
          <w:iCs/>
        </w:rPr>
        <w:t>in views looking south east along Uxbridge Road.</w:t>
      </w:r>
    </w:p>
    <w:p w14:paraId="47ACE1AD" w14:textId="77777777" w:rsidR="00BB7F80" w:rsidRPr="00BB7F80" w:rsidRDefault="00BB7F80" w:rsidP="00BB7F80">
      <w:pPr>
        <w:pStyle w:val="ListParagraph"/>
        <w:rPr>
          <w:rFonts w:cstheme="minorHAnsi"/>
          <w:i/>
          <w:iCs/>
        </w:rPr>
      </w:pPr>
    </w:p>
    <w:p w14:paraId="4EDB1204" w14:textId="30FDA0EA" w:rsidR="00BB7F80" w:rsidRPr="00A62448" w:rsidRDefault="001836DB" w:rsidP="00BB7F80">
      <w:pPr>
        <w:pStyle w:val="ListParagraph"/>
        <w:numPr>
          <w:ilvl w:val="0"/>
          <w:numId w:val="16"/>
        </w:numPr>
        <w:rPr>
          <w:rFonts w:cstheme="minorHAnsi"/>
          <w:i/>
          <w:iCs/>
        </w:rPr>
      </w:pPr>
      <w:r>
        <w:rPr>
          <w:rFonts w:cstheme="minorHAnsi"/>
        </w:rPr>
        <w:t>The proposed</w:t>
      </w:r>
      <w:r w:rsidR="00A62448">
        <w:rPr>
          <w:rFonts w:cstheme="minorHAnsi"/>
        </w:rPr>
        <w:t xml:space="preserve"> building</w:t>
      </w:r>
      <w:r>
        <w:rPr>
          <w:rFonts w:cstheme="minorHAnsi"/>
        </w:rPr>
        <w:t xml:space="preserve"> footprint is identical to the smaller scheme which has been approved subject to the completion of a S106.</w:t>
      </w:r>
    </w:p>
    <w:p w14:paraId="0D12F7E5" w14:textId="2BBCB93A" w:rsidR="00A62448" w:rsidRDefault="00A62448" w:rsidP="00A62448">
      <w:pPr>
        <w:pStyle w:val="ListParagraph"/>
        <w:rPr>
          <w:rFonts w:cstheme="minorHAnsi"/>
        </w:rPr>
      </w:pPr>
    </w:p>
    <w:p w14:paraId="5F625392" w14:textId="2253C5E5" w:rsidR="00A62448" w:rsidRPr="00A62448" w:rsidRDefault="00A62448" w:rsidP="00A62448">
      <w:pPr>
        <w:ind w:firstLine="360"/>
        <w:rPr>
          <w:rFonts w:cstheme="minorHAnsi"/>
          <w:b/>
          <w:bCs/>
        </w:rPr>
      </w:pPr>
      <w:r w:rsidRPr="00A62448">
        <w:rPr>
          <w:rFonts w:cstheme="minorHAnsi"/>
          <w:b/>
          <w:bCs/>
        </w:rPr>
        <w:t>5 storeys is visually prominent</w:t>
      </w:r>
      <w:r w:rsidR="00F013B3">
        <w:rPr>
          <w:rFonts w:cstheme="minorHAnsi"/>
          <w:b/>
          <w:bCs/>
        </w:rPr>
        <w:t xml:space="preserve"> and out of keeping</w:t>
      </w:r>
    </w:p>
    <w:p w14:paraId="08E8A082" w14:textId="77777777" w:rsidR="00A62448" w:rsidRPr="00A62448" w:rsidRDefault="00A62448" w:rsidP="00A62448">
      <w:pPr>
        <w:rPr>
          <w:rFonts w:cstheme="minorHAnsi"/>
          <w:i/>
          <w:iCs/>
        </w:rPr>
      </w:pPr>
    </w:p>
    <w:p w14:paraId="5A7B8A7A" w14:textId="60031A3A"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Uxbridge Road must be considered separately from Star Road</w:t>
      </w:r>
      <w:r>
        <w:rPr>
          <w:rFonts w:eastAsia="Times New Roman" w:cstheme="minorHAnsi"/>
          <w:color w:val="000000"/>
          <w:lang w:eastAsia="en-GB"/>
        </w:rPr>
        <w:t>.</w:t>
      </w:r>
    </w:p>
    <w:p w14:paraId="507C4EB9" w14:textId="77777777" w:rsidR="00F013B3" w:rsidRPr="00F013B3" w:rsidRDefault="00F013B3" w:rsidP="00F013B3">
      <w:pPr>
        <w:pStyle w:val="ListParagraph"/>
        <w:jc w:val="both"/>
        <w:rPr>
          <w:rFonts w:eastAsia="Times New Roman" w:cstheme="minorHAnsi"/>
          <w:color w:val="000000"/>
          <w:lang w:eastAsia="en-GB"/>
        </w:rPr>
      </w:pPr>
    </w:p>
    <w:p w14:paraId="4BE4F855" w14:textId="77777777"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Uxbridge Road is a wide busy highway with a desultory assembly of buildings from the mid to late twentieth century.  The buildings are very varied in size and style, with industrial sheds interspersed amongst blocks of flats, offices and other buildings.  It is distinctly different from the residential area behind.</w:t>
      </w:r>
    </w:p>
    <w:p w14:paraId="2A17A8A7" w14:textId="77777777" w:rsidR="00F013B3" w:rsidRPr="00F013B3" w:rsidRDefault="00F013B3" w:rsidP="00F013B3">
      <w:pPr>
        <w:pStyle w:val="ListParagraph"/>
        <w:jc w:val="both"/>
        <w:rPr>
          <w:rFonts w:eastAsia="Times New Roman" w:cstheme="minorHAnsi"/>
          <w:color w:val="000000"/>
          <w:lang w:eastAsia="en-GB"/>
        </w:rPr>
      </w:pPr>
    </w:p>
    <w:p w14:paraId="68ADC4FD" w14:textId="77777777"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The  buildings in the immediate vicinity were constructed shortly after World War Two when this was a rural road outside London. These buildings were appropriately sized at that time, but now line a busy urban distributor road, they are mostly in poor condition and make poor use of the location.</w:t>
      </w:r>
    </w:p>
    <w:p w14:paraId="6D6B1232" w14:textId="77777777" w:rsidR="00F013B3" w:rsidRPr="00F013B3" w:rsidRDefault="00F013B3" w:rsidP="00F013B3">
      <w:pPr>
        <w:pStyle w:val="ListParagraph"/>
        <w:jc w:val="both"/>
        <w:rPr>
          <w:rFonts w:eastAsia="Times New Roman" w:cstheme="minorHAnsi"/>
          <w:color w:val="000000"/>
          <w:lang w:eastAsia="en-GB"/>
        </w:rPr>
      </w:pPr>
    </w:p>
    <w:p w14:paraId="3FA604C5" w14:textId="77777777"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lastRenderedPageBreak/>
        <w:t>The street front has no obvious scale because it comprises many isolated buildings with no relation to each other, as well as wide space for carparks &amp; other service spaces.  If anything, it can be characterized by abrupt changes in height.</w:t>
      </w:r>
    </w:p>
    <w:p w14:paraId="5F11D61A" w14:textId="77777777" w:rsidR="00F013B3" w:rsidRPr="00F013B3" w:rsidRDefault="00F013B3" w:rsidP="00F013B3">
      <w:pPr>
        <w:pStyle w:val="ListParagraph"/>
        <w:jc w:val="both"/>
        <w:rPr>
          <w:rFonts w:eastAsia="Times New Roman" w:cstheme="minorHAnsi"/>
          <w:color w:val="000000"/>
          <w:lang w:eastAsia="en-GB"/>
        </w:rPr>
      </w:pPr>
    </w:p>
    <w:p w14:paraId="4A4F89CC" w14:textId="4ECE20F4"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 xml:space="preserve">The proposal will not be a large change in height from the neighbours, one additional storey.  This sort of variation is typical of the road.  In the context of the Blue Dragon Cleaners, Transport </w:t>
      </w:r>
      <w:r>
        <w:rPr>
          <w:rFonts w:eastAsia="Times New Roman" w:cstheme="minorHAnsi"/>
          <w:color w:val="000000"/>
          <w:lang w:eastAsia="en-GB"/>
        </w:rPr>
        <w:t>H</w:t>
      </w:r>
      <w:r w:rsidRPr="00F013B3">
        <w:rPr>
          <w:rFonts w:eastAsia="Times New Roman" w:cstheme="minorHAnsi"/>
          <w:color w:val="000000"/>
          <w:lang w:eastAsia="en-GB"/>
        </w:rPr>
        <w:t>ouse, Marlborough Parade, etc., this cannot be very visually prominent, just another different building.</w:t>
      </w:r>
    </w:p>
    <w:p w14:paraId="68663598" w14:textId="77777777" w:rsidR="00F013B3" w:rsidRPr="00F013B3" w:rsidRDefault="00F013B3" w:rsidP="00F013B3">
      <w:pPr>
        <w:pStyle w:val="ListParagraph"/>
        <w:jc w:val="both"/>
        <w:rPr>
          <w:rFonts w:eastAsia="Times New Roman" w:cstheme="minorHAnsi"/>
          <w:color w:val="000000"/>
          <w:lang w:eastAsia="en-GB"/>
        </w:rPr>
      </w:pPr>
    </w:p>
    <w:p w14:paraId="3422E3EF" w14:textId="77777777"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In so far as it is notable at all, the height of this proposal will stimulate regeneration in the vicinity, making it clear to neighbours that they can bring forward viable schemes for redevelopment to meet the needs of the area and improve the quality of accommodation to modern standards.</w:t>
      </w:r>
    </w:p>
    <w:p w14:paraId="398F07E3" w14:textId="77777777" w:rsidR="00F013B3" w:rsidRPr="00F013B3" w:rsidRDefault="00F013B3" w:rsidP="00F013B3">
      <w:pPr>
        <w:pStyle w:val="ListParagraph"/>
        <w:jc w:val="both"/>
        <w:rPr>
          <w:rFonts w:eastAsia="Times New Roman" w:cstheme="minorHAnsi"/>
          <w:color w:val="000000"/>
          <w:lang w:eastAsia="en-GB"/>
        </w:rPr>
      </w:pPr>
    </w:p>
    <w:p w14:paraId="3F2E74EB" w14:textId="0826C747" w:rsidR="00F013B3" w:rsidRPr="00F013B3" w:rsidRDefault="00F013B3" w:rsidP="00F013B3">
      <w:pPr>
        <w:pStyle w:val="ListParagraph"/>
        <w:numPr>
          <w:ilvl w:val="0"/>
          <w:numId w:val="16"/>
        </w:numPr>
        <w:jc w:val="both"/>
        <w:rPr>
          <w:rFonts w:eastAsia="Times New Roman" w:cstheme="minorHAnsi"/>
          <w:color w:val="000000"/>
          <w:lang w:eastAsia="en-GB"/>
        </w:rPr>
      </w:pPr>
      <w:r>
        <w:rPr>
          <w:rFonts w:eastAsia="Times New Roman" w:cstheme="minorHAnsi"/>
          <w:color w:val="000000"/>
          <w:lang w:eastAsia="en-GB"/>
        </w:rPr>
        <w:t>The</w:t>
      </w:r>
      <w:r w:rsidRPr="00F013B3">
        <w:rPr>
          <w:rFonts w:eastAsia="Times New Roman" w:cstheme="minorHAnsi"/>
          <w:color w:val="000000"/>
          <w:lang w:eastAsia="en-GB"/>
        </w:rPr>
        <w:t xml:space="preserve"> </w:t>
      </w:r>
      <w:r>
        <w:rPr>
          <w:rFonts w:eastAsia="Times New Roman" w:cstheme="minorHAnsi"/>
          <w:color w:val="000000"/>
          <w:lang w:eastAsia="en-GB"/>
        </w:rPr>
        <w:t>G</w:t>
      </w:r>
      <w:r w:rsidRPr="00F013B3">
        <w:rPr>
          <w:rFonts w:eastAsia="Times New Roman" w:cstheme="minorHAnsi"/>
          <w:color w:val="000000"/>
          <w:lang w:eastAsia="en-GB"/>
        </w:rPr>
        <w:t>overnment’s proposals to allow upward extension of existing buildings</w:t>
      </w:r>
      <w:r>
        <w:rPr>
          <w:rFonts w:eastAsia="Times New Roman" w:cstheme="minorHAnsi"/>
          <w:color w:val="000000"/>
          <w:lang w:eastAsia="en-GB"/>
        </w:rPr>
        <w:t xml:space="preserve"> by up to two storeys</w:t>
      </w:r>
      <w:r w:rsidRPr="00F013B3">
        <w:rPr>
          <w:rFonts w:eastAsia="Times New Roman" w:cstheme="minorHAnsi"/>
          <w:color w:val="000000"/>
          <w:lang w:eastAsia="en-GB"/>
        </w:rPr>
        <w:t>, and rebuilding with extension of decaying building stock</w:t>
      </w:r>
      <w:r>
        <w:rPr>
          <w:rFonts w:eastAsia="Times New Roman" w:cstheme="minorHAnsi"/>
          <w:color w:val="000000"/>
          <w:lang w:eastAsia="en-GB"/>
        </w:rPr>
        <w:t xml:space="preserve"> should be noted</w:t>
      </w:r>
      <w:r w:rsidRPr="00F013B3">
        <w:rPr>
          <w:rFonts w:eastAsia="Times New Roman" w:cstheme="minorHAnsi"/>
          <w:color w:val="000000"/>
          <w:lang w:eastAsia="en-GB"/>
        </w:rPr>
        <w:t>.  This part of Uxbridge Road would be better served by extensive redevelopment to improve the area.  We have prepared a context elevation to show how the proposal would fit into the street scene if the neighbouring buildings were simply extended by two storeys</w:t>
      </w:r>
      <w:r>
        <w:rPr>
          <w:rFonts w:eastAsia="Times New Roman" w:cstheme="minorHAnsi"/>
          <w:color w:val="000000"/>
          <w:lang w:eastAsia="en-GB"/>
        </w:rPr>
        <w:t xml:space="preserve"> (Appendix 3)</w:t>
      </w:r>
      <w:r w:rsidRPr="00F013B3">
        <w:rPr>
          <w:rFonts w:eastAsia="Times New Roman" w:cstheme="minorHAnsi"/>
          <w:color w:val="000000"/>
          <w:lang w:eastAsia="en-GB"/>
        </w:rPr>
        <w:t>.</w:t>
      </w:r>
    </w:p>
    <w:p w14:paraId="744832F6" w14:textId="77777777" w:rsidR="00F013B3" w:rsidRPr="00F013B3" w:rsidRDefault="00F013B3" w:rsidP="00F013B3">
      <w:pPr>
        <w:pStyle w:val="ListParagraph"/>
        <w:jc w:val="both"/>
        <w:rPr>
          <w:rFonts w:eastAsia="Times New Roman" w:cstheme="minorHAnsi"/>
          <w:color w:val="000000"/>
          <w:lang w:eastAsia="en-GB"/>
        </w:rPr>
      </w:pPr>
    </w:p>
    <w:p w14:paraId="10D7EE2C" w14:textId="77777777" w:rsidR="00F013B3"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Along Star Road, the scheme makes a clear distinction between the domestic-scale zone and the highway zone.  The two different but complimentary buildings in this scheme are separated by the raised garden to make a formal distinction and mark the change.  The highest parts of the proposal are distant from neighbouring semi-detached houses.</w:t>
      </w:r>
    </w:p>
    <w:p w14:paraId="46D8C98D" w14:textId="77777777" w:rsidR="00F013B3" w:rsidRPr="00F013B3" w:rsidRDefault="00F013B3" w:rsidP="00F013B3">
      <w:pPr>
        <w:pStyle w:val="ListParagraph"/>
        <w:jc w:val="both"/>
        <w:rPr>
          <w:rFonts w:eastAsia="Times New Roman" w:cstheme="minorHAnsi"/>
          <w:color w:val="000000"/>
          <w:lang w:eastAsia="en-GB"/>
        </w:rPr>
      </w:pPr>
    </w:p>
    <w:p w14:paraId="1EEEB2BF" w14:textId="625E5911" w:rsidR="00A62448" w:rsidRPr="00F013B3" w:rsidRDefault="00F013B3" w:rsidP="00F013B3">
      <w:pPr>
        <w:pStyle w:val="ListParagraph"/>
        <w:numPr>
          <w:ilvl w:val="0"/>
          <w:numId w:val="16"/>
        </w:numPr>
        <w:jc w:val="both"/>
        <w:rPr>
          <w:rFonts w:eastAsia="Times New Roman" w:cstheme="minorHAnsi"/>
          <w:color w:val="000000"/>
          <w:lang w:eastAsia="en-GB"/>
        </w:rPr>
      </w:pPr>
      <w:r w:rsidRPr="00F013B3">
        <w:rPr>
          <w:rFonts w:eastAsia="Times New Roman" w:cstheme="minorHAnsi"/>
          <w:color w:val="000000"/>
          <w:lang w:eastAsia="en-GB"/>
        </w:rPr>
        <w:t>In conclusion, this part of Uxbridge Road has no appreciable scale or massing with which the proposal could be ‘in keeping’.  For this reason it will have very limited visual prominence, but in so far as it is notable, it will be notable as an example of high quality redevelopment stimulating the improvement of the locality.</w:t>
      </w:r>
    </w:p>
    <w:p w14:paraId="21ADE5FE" w14:textId="77777777" w:rsidR="0059463F" w:rsidRPr="00F013B3" w:rsidRDefault="0059463F" w:rsidP="00F013B3">
      <w:pPr>
        <w:pStyle w:val="ListParagraph"/>
        <w:jc w:val="both"/>
        <w:rPr>
          <w:rFonts w:cstheme="minorHAnsi"/>
          <w:i/>
          <w:iCs/>
        </w:rPr>
      </w:pPr>
    </w:p>
    <w:p w14:paraId="330265DD" w14:textId="63567A26" w:rsidR="00A62448" w:rsidRPr="0059463F" w:rsidRDefault="0059463F" w:rsidP="00F013B3">
      <w:pPr>
        <w:pStyle w:val="ListParagraph"/>
        <w:numPr>
          <w:ilvl w:val="0"/>
          <w:numId w:val="16"/>
        </w:numPr>
        <w:jc w:val="both"/>
        <w:rPr>
          <w:rFonts w:cstheme="minorHAnsi"/>
          <w:i/>
          <w:iCs/>
        </w:rPr>
      </w:pPr>
      <w:r w:rsidRPr="00F013B3">
        <w:rPr>
          <w:rFonts w:cstheme="minorHAnsi"/>
        </w:rPr>
        <w:t>Notwithstanding the above, the new permitted development rights introduced recently (including Classes A, AA, AB, AC, AD and ZA) will undoubtedly change the street scene in the locality by allowing up to 2 additional storeys on houses, blocks of flats and mixed use buildings.</w:t>
      </w:r>
    </w:p>
    <w:p w14:paraId="6E299C9F" w14:textId="62709F75" w:rsidR="00C761F6" w:rsidRPr="00F013B3" w:rsidRDefault="00C761F6" w:rsidP="00F013B3">
      <w:pPr>
        <w:rPr>
          <w:rFonts w:cstheme="minorHAnsi"/>
        </w:rPr>
      </w:pPr>
    </w:p>
    <w:p w14:paraId="15A23A2D" w14:textId="14000E9F" w:rsidR="00C761F6" w:rsidRPr="00C761F6" w:rsidRDefault="00C761F6" w:rsidP="00C761F6">
      <w:pPr>
        <w:ind w:firstLine="360"/>
        <w:rPr>
          <w:rFonts w:cstheme="minorHAnsi"/>
          <w:b/>
          <w:bCs/>
        </w:rPr>
      </w:pPr>
      <w:r w:rsidRPr="00C761F6">
        <w:rPr>
          <w:rFonts w:cstheme="minorHAnsi"/>
          <w:b/>
          <w:bCs/>
        </w:rPr>
        <w:t>Conclusion</w:t>
      </w:r>
    </w:p>
    <w:p w14:paraId="065ABF7C" w14:textId="77777777" w:rsidR="00C761F6" w:rsidRPr="00C761F6" w:rsidRDefault="00C761F6" w:rsidP="00C761F6">
      <w:pPr>
        <w:pStyle w:val="ListParagraph"/>
        <w:rPr>
          <w:rFonts w:cstheme="minorHAnsi"/>
          <w:i/>
          <w:iCs/>
        </w:rPr>
      </w:pPr>
    </w:p>
    <w:p w14:paraId="3A784396" w14:textId="52FE5382" w:rsidR="00C761F6" w:rsidRPr="00C761F6" w:rsidRDefault="00C761F6" w:rsidP="00BB7F80">
      <w:pPr>
        <w:pStyle w:val="ListParagraph"/>
        <w:numPr>
          <w:ilvl w:val="0"/>
          <w:numId w:val="16"/>
        </w:numPr>
        <w:rPr>
          <w:rFonts w:cstheme="minorHAnsi"/>
          <w:i/>
          <w:iCs/>
        </w:rPr>
      </w:pPr>
      <w:r>
        <w:rPr>
          <w:rFonts w:cstheme="minorHAnsi"/>
        </w:rPr>
        <w:t>The difference between what was recently approved subject to the completion of a S106 agreement and the scheme subject to this appeal is literally the introduction of one additional storey.</w:t>
      </w:r>
    </w:p>
    <w:p w14:paraId="01D687E9" w14:textId="77777777" w:rsidR="00C761F6" w:rsidRPr="00C761F6" w:rsidRDefault="00C761F6" w:rsidP="00C761F6">
      <w:pPr>
        <w:pStyle w:val="ListParagraph"/>
        <w:rPr>
          <w:rFonts w:cstheme="minorHAnsi"/>
          <w:i/>
          <w:iCs/>
        </w:rPr>
      </w:pPr>
    </w:p>
    <w:p w14:paraId="541C2230" w14:textId="30709F74" w:rsidR="00C761F6" w:rsidRPr="00C761F6" w:rsidRDefault="00C761F6" w:rsidP="00BB7F80">
      <w:pPr>
        <w:pStyle w:val="ListParagraph"/>
        <w:numPr>
          <w:ilvl w:val="0"/>
          <w:numId w:val="16"/>
        </w:numPr>
        <w:rPr>
          <w:rFonts w:cstheme="minorHAnsi"/>
          <w:i/>
          <w:iCs/>
        </w:rPr>
      </w:pPr>
      <w:r>
        <w:rPr>
          <w:rFonts w:cstheme="minorHAnsi"/>
        </w:rPr>
        <w:t xml:space="preserve">As a consequence of the additional storey, the Council has identified </w:t>
      </w:r>
      <w:r w:rsidR="0066310C">
        <w:rPr>
          <w:rFonts w:cstheme="minorHAnsi"/>
        </w:rPr>
        <w:t>3</w:t>
      </w:r>
      <w:r>
        <w:rPr>
          <w:rFonts w:cstheme="minorHAnsi"/>
        </w:rPr>
        <w:t xml:space="preserve"> issues which they consider result in harm.</w:t>
      </w:r>
    </w:p>
    <w:p w14:paraId="55090C74" w14:textId="77777777" w:rsidR="00C761F6" w:rsidRPr="00C761F6" w:rsidRDefault="00C761F6" w:rsidP="00C761F6">
      <w:pPr>
        <w:rPr>
          <w:rFonts w:cstheme="minorHAnsi"/>
          <w:i/>
          <w:iCs/>
        </w:rPr>
      </w:pPr>
    </w:p>
    <w:p w14:paraId="62AECD65" w14:textId="01AC26AC" w:rsidR="00C761F6" w:rsidRPr="004D3433" w:rsidRDefault="00C761F6" w:rsidP="00BB7F80">
      <w:pPr>
        <w:pStyle w:val="ListParagraph"/>
        <w:numPr>
          <w:ilvl w:val="0"/>
          <w:numId w:val="16"/>
        </w:numPr>
        <w:rPr>
          <w:rFonts w:cstheme="minorHAnsi"/>
          <w:i/>
          <w:iCs/>
        </w:rPr>
      </w:pPr>
      <w:r>
        <w:rPr>
          <w:rFonts w:cstheme="minorHAnsi"/>
        </w:rPr>
        <w:lastRenderedPageBreak/>
        <w:t>Densities should not be treated as the only guiding tool for development. As stated in the Local Plan and London Plan, densities are one of many factors to consider. In fact, in many respects they are the result of a scheme’s evolution. If there are issues such as lack of light, shortage of amenity space, etc these can signify excessive densities thus resulting in over development.</w:t>
      </w:r>
      <w:r w:rsidR="004D3433">
        <w:rPr>
          <w:rFonts w:cstheme="minorHAnsi"/>
        </w:rPr>
        <w:t xml:space="preserve"> However, by the Council’s own admission the scheme subject to this appeal is considered acceptable in relation to many factors as set out in paragraph 15 above. In fact, the proposal passes all of the technical tests</w:t>
      </w:r>
    </w:p>
    <w:p w14:paraId="28C2216C" w14:textId="77777777" w:rsidR="004D3433" w:rsidRPr="004D3433" w:rsidRDefault="004D3433" w:rsidP="004D3433">
      <w:pPr>
        <w:pStyle w:val="ListParagraph"/>
        <w:rPr>
          <w:rFonts w:cstheme="minorHAnsi"/>
          <w:i/>
          <w:iCs/>
        </w:rPr>
      </w:pPr>
    </w:p>
    <w:p w14:paraId="63435288" w14:textId="0016E56E" w:rsidR="004D3433" w:rsidRDefault="004D3433" w:rsidP="00BB7F80">
      <w:pPr>
        <w:pStyle w:val="ListParagraph"/>
        <w:numPr>
          <w:ilvl w:val="0"/>
          <w:numId w:val="16"/>
        </w:numPr>
        <w:rPr>
          <w:rFonts w:cstheme="minorHAnsi"/>
        </w:rPr>
      </w:pPr>
      <w:r w:rsidRPr="004D3433">
        <w:rPr>
          <w:rFonts w:cstheme="minorHAnsi"/>
        </w:rPr>
        <w:t xml:space="preserve">The Council also considers the </w:t>
      </w:r>
      <w:r>
        <w:rPr>
          <w:rFonts w:cstheme="minorHAnsi"/>
        </w:rPr>
        <w:t>building footprint dominates the street scene. However, the footprint is identical to the smaller scheme which the Council resolved to grant planning permission subject to the completion of a S106 agreement.</w:t>
      </w:r>
    </w:p>
    <w:p w14:paraId="175031B0" w14:textId="77777777" w:rsidR="004D3433" w:rsidRPr="004D3433" w:rsidRDefault="004D3433" w:rsidP="004D3433">
      <w:pPr>
        <w:pStyle w:val="ListParagraph"/>
        <w:rPr>
          <w:rFonts w:cstheme="minorHAnsi"/>
        </w:rPr>
      </w:pPr>
    </w:p>
    <w:p w14:paraId="52B8D1A9" w14:textId="7B7937BB" w:rsidR="004D3433" w:rsidRDefault="004D3433" w:rsidP="00BB7F80">
      <w:pPr>
        <w:pStyle w:val="ListParagraph"/>
        <w:numPr>
          <w:ilvl w:val="0"/>
          <w:numId w:val="16"/>
        </w:numPr>
        <w:rPr>
          <w:rFonts w:cstheme="minorHAnsi"/>
        </w:rPr>
      </w:pPr>
      <w:r>
        <w:rPr>
          <w:rFonts w:cstheme="minorHAnsi"/>
        </w:rPr>
        <w:t>As for 5 storeys being visually prominent and out of keepin</w:t>
      </w:r>
      <w:r w:rsidR="00F013B3">
        <w:rPr>
          <w:rFonts w:cstheme="minorHAnsi"/>
        </w:rPr>
        <w:t xml:space="preserve">g, this is simply not the case </w:t>
      </w:r>
      <w:r w:rsidR="00F013B3">
        <w:rPr>
          <w:rFonts w:eastAsia="Times New Roman" w:cstheme="minorHAnsi"/>
          <w:color w:val="000000"/>
          <w:lang w:eastAsia="en-GB"/>
        </w:rPr>
        <w:t xml:space="preserve">as </w:t>
      </w:r>
      <w:r w:rsidR="00F013B3" w:rsidRPr="00F013B3">
        <w:rPr>
          <w:rFonts w:eastAsia="Times New Roman" w:cstheme="minorHAnsi"/>
          <w:color w:val="000000"/>
          <w:lang w:eastAsia="en-GB"/>
        </w:rPr>
        <w:t>his part of Uxbridge Road has no appreciable scale or massing with which the proposal could be ‘in keeping’.  For this reason it will have very limited visual prominence, but in so far as it is notable, it will be notable as an example of high quality redevelopment stimulating the improvement of the locality.</w:t>
      </w:r>
    </w:p>
    <w:p w14:paraId="178C14CF" w14:textId="77777777" w:rsidR="004D3433" w:rsidRPr="004D3433" w:rsidRDefault="004D3433" w:rsidP="004D3433">
      <w:pPr>
        <w:pStyle w:val="ListParagraph"/>
        <w:rPr>
          <w:rFonts w:cstheme="minorHAnsi"/>
        </w:rPr>
      </w:pPr>
    </w:p>
    <w:p w14:paraId="5DB22D98" w14:textId="2107F03E" w:rsidR="004D3433" w:rsidRPr="004D3433" w:rsidRDefault="004D3433" w:rsidP="00BB7F80">
      <w:pPr>
        <w:pStyle w:val="ListParagraph"/>
        <w:numPr>
          <w:ilvl w:val="0"/>
          <w:numId w:val="16"/>
        </w:numPr>
        <w:rPr>
          <w:rFonts w:cstheme="minorHAnsi"/>
        </w:rPr>
      </w:pPr>
      <w:r>
        <w:rPr>
          <w:rFonts w:cstheme="minorHAnsi"/>
        </w:rPr>
        <w:t xml:space="preserve">Notwithstanding the above, it should also be noted that the street scene is likely to change as a consequence of new permitted development rights recently introduced. These will in essence allow up to 2 additional storeys on houses, blocks of flats and mixed use buildings. </w:t>
      </w:r>
    </w:p>
    <w:p w14:paraId="54B3E9DC" w14:textId="1101DE4E" w:rsidR="00BB7F80" w:rsidRDefault="00BB7F80" w:rsidP="004D3433">
      <w:pPr>
        <w:ind w:left="360"/>
        <w:rPr>
          <w:rFonts w:cstheme="minorHAnsi"/>
        </w:rPr>
      </w:pPr>
    </w:p>
    <w:p w14:paraId="0FBA047F" w14:textId="77777777" w:rsidR="004D3433" w:rsidRPr="004D3433" w:rsidRDefault="004D3433" w:rsidP="004D3433">
      <w:pPr>
        <w:ind w:left="360"/>
        <w:rPr>
          <w:rFonts w:cstheme="minorHAnsi"/>
        </w:rPr>
      </w:pPr>
    </w:p>
    <w:p w14:paraId="74E1CE44" w14:textId="2FFC258C" w:rsidR="00B04E6B" w:rsidRPr="00BB7F80" w:rsidRDefault="00BB7F80" w:rsidP="00BB7F80">
      <w:pPr>
        <w:rPr>
          <w:rFonts w:cstheme="minorHAnsi"/>
        </w:rPr>
      </w:pPr>
      <w:r w:rsidRPr="00BB7F80">
        <w:rPr>
          <w:rFonts w:cstheme="minorHAnsi"/>
        </w:rPr>
        <w:t xml:space="preserve"> </w:t>
      </w:r>
    </w:p>
    <w:p w14:paraId="3E7481E6" w14:textId="77777777" w:rsidR="008C1308" w:rsidRPr="008C1308" w:rsidRDefault="008C1308" w:rsidP="008C1308">
      <w:pPr>
        <w:rPr>
          <w:rFonts w:cstheme="minorHAnsi"/>
        </w:rPr>
      </w:pPr>
    </w:p>
    <w:p w14:paraId="45C6C374" w14:textId="70DC9CE5" w:rsidR="004D287B" w:rsidRPr="004D287B" w:rsidRDefault="004D287B" w:rsidP="004D287B">
      <w:pPr>
        <w:rPr>
          <w:rFonts w:cstheme="minorHAnsi"/>
        </w:rPr>
      </w:pPr>
    </w:p>
    <w:p w14:paraId="0E4930EB" w14:textId="77777777" w:rsidR="00E73EDF" w:rsidRDefault="00E73EDF" w:rsidP="005C54FA">
      <w:pPr>
        <w:rPr>
          <w:rFonts w:cstheme="minorHAnsi"/>
        </w:rPr>
      </w:pPr>
    </w:p>
    <w:p w14:paraId="289F83DA" w14:textId="77777777" w:rsidR="00E73EDF" w:rsidRDefault="00E73EDF" w:rsidP="005C54FA">
      <w:pPr>
        <w:rPr>
          <w:rFonts w:cstheme="minorHAnsi"/>
        </w:rPr>
      </w:pPr>
    </w:p>
    <w:p w14:paraId="1D3CD124" w14:textId="77777777" w:rsidR="00E73EDF" w:rsidRDefault="00E73EDF" w:rsidP="005C54FA">
      <w:pPr>
        <w:rPr>
          <w:rFonts w:cstheme="minorHAnsi"/>
        </w:rPr>
      </w:pPr>
    </w:p>
    <w:p w14:paraId="1F3A2539" w14:textId="0A91FA52" w:rsidR="008753D1" w:rsidRDefault="00E73EDF" w:rsidP="005C54FA">
      <w:pPr>
        <w:rPr>
          <w:rFonts w:cstheme="minorHAnsi"/>
        </w:rPr>
      </w:pPr>
      <w:r>
        <w:rPr>
          <w:rFonts w:cstheme="minorHAnsi"/>
        </w:rPr>
        <w:t>APPENDICES</w:t>
      </w:r>
    </w:p>
    <w:p w14:paraId="7D45F5E4" w14:textId="7FF71F58" w:rsidR="00E73EDF" w:rsidRDefault="00E73EDF" w:rsidP="005C54FA">
      <w:pPr>
        <w:rPr>
          <w:rFonts w:cstheme="minorHAnsi"/>
        </w:rPr>
      </w:pPr>
    </w:p>
    <w:p w14:paraId="284E8D52" w14:textId="586EBB90" w:rsidR="00E73EDF" w:rsidRDefault="00E73EDF" w:rsidP="005C54FA">
      <w:pPr>
        <w:rPr>
          <w:rFonts w:cstheme="minorHAnsi"/>
        </w:rPr>
      </w:pPr>
      <w:r>
        <w:rPr>
          <w:rFonts w:cstheme="minorHAnsi"/>
        </w:rPr>
        <w:t>1 Committee report and drawings for approved scheme</w:t>
      </w:r>
    </w:p>
    <w:p w14:paraId="2B1E6CAA" w14:textId="745BE975" w:rsidR="00E73EDF" w:rsidRDefault="00E73EDF" w:rsidP="005C54FA">
      <w:pPr>
        <w:rPr>
          <w:rFonts w:cstheme="minorHAnsi"/>
        </w:rPr>
      </w:pPr>
      <w:r>
        <w:rPr>
          <w:rFonts w:cstheme="minorHAnsi"/>
        </w:rPr>
        <w:t>2 Committee report for refused scheme</w:t>
      </w:r>
    </w:p>
    <w:p w14:paraId="05181655" w14:textId="5FAE8039" w:rsidR="00F013B3" w:rsidRPr="004D287B" w:rsidRDefault="00F013B3" w:rsidP="005C54FA">
      <w:pPr>
        <w:rPr>
          <w:rFonts w:cstheme="minorHAnsi"/>
        </w:rPr>
      </w:pPr>
      <w:r>
        <w:rPr>
          <w:rFonts w:cstheme="minorHAnsi"/>
        </w:rPr>
        <w:t>3 Possible Context drawing</w:t>
      </w:r>
    </w:p>
    <w:sectPr w:rsidR="00F013B3" w:rsidRPr="004D287B" w:rsidSect="0097179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8601B"/>
    <w:multiLevelType w:val="hybridMultilevel"/>
    <w:tmpl w:val="58948C3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065356C4"/>
    <w:multiLevelType w:val="hybridMultilevel"/>
    <w:tmpl w:val="A7BA10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EE7281"/>
    <w:multiLevelType w:val="hybridMultilevel"/>
    <w:tmpl w:val="4EFEC2C4"/>
    <w:lvl w:ilvl="0" w:tplc="CCFC5B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4B55F6"/>
    <w:multiLevelType w:val="hybridMultilevel"/>
    <w:tmpl w:val="8F726AA4"/>
    <w:lvl w:ilvl="0" w:tplc="DFFA29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0F44B7"/>
    <w:multiLevelType w:val="hybridMultilevel"/>
    <w:tmpl w:val="8C2E470C"/>
    <w:lvl w:ilvl="0" w:tplc="1DF6DB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E1A12"/>
    <w:multiLevelType w:val="hybridMultilevel"/>
    <w:tmpl w:val="AEB268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13E12DB"/>
    <w:multiLevelType w:val="hybridMultilevel"/>
    <w:tmpl w:val="B6A68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B2CC7"/>
    <w:multiLevelType w:val="hybridMultilevel"/>
    <w:tmpl w:val="36C81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131459A"/>
    <w:multiLevelType w:val="hybridMultilevel"/>
    <w:tmpl w:val="C9928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D80AC7"/>
    <w:multiLevelType w:val="hybridMultilevel"/>
    <w:tmpl w:val="77D47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C71A5B"/>
    <w:multiLevelType w:val="hybridMultilevel"/>
    <w:tmpl w:val="7D909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79B6357"/>
    <w:multiLevelType w:val="hybridMultilevel"/>
    <w:tmpl w:val="C61EF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1D7D59"/>
    <w:multiLevelType w:val="hybridMultilevel"/>
    <w:tmpl w:val="3FA657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8F54C50"/>
    <w:multiLevelType w:val="hybridMultilevel"/>
    <w:tmpl w:val="9992F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C2C2CB8"/>
    <w:multiLevelType w:val="hybridMultilevel"/>
    <w:tmpl w:val="6CF09C48"/>
    <w:lvl w:ilvl="0" w:tplc="7124CA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37ED7"/>
    <w:multiLevelType w:val="hybridMultilevel"/>
    <w:tmpl w:val="162A9D9C"/>
    <w:lvl w:ilvl="0" w:tplc="9E049E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614F5C"/>
    <w:multiLevelType w:val="hybridMultilevel"/>
    <w:tmpl w:val="8EE212F2"/>
    <w:lvl w:ilvl="0" w:tplc="3EFCCA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28394B"/>
    <w:multiLevelType w:val="hybridMultilevel"/>
    <w:tmpl w:val="8F60E760"/>
    <w:lvl w:ilvl="0" w:tplc="9E9E94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16"/>
  </w:num>
  <w:num w:numId="4">
    <w:abstractNumId w:val="8"/>
  </w:num>
  <w:num w:numId="5">
    <w:abstractNumId w:val="12"/>
  </w:num>
  <w:num w:numId="6">
    <w:abstractNumId w:val="10"/>
  </w:num>
  <w:num w:numId="7">
    <w:abstractNumId w:val="11"/>
  </w:num>
  <w:num w:numId="8">
    <w:abstractNumId w:val="5"/>
  </w:num>
  <w:num w:numId="9">
    <w:abstractNumId w:val="0"/>
  </w:num>
  <w:num w:numId="10">
    <w:abstractNumId w:val="13"/>
  </w:num>
  <w:num w:numId="11">
    <w:abstractNumId w:val="17"/>
  </w:num>
  <w:num w:numId="12">
    <w:abstractNumId w:val="9"/>
  </w:num>
  <w:num w:numId="13">
    <w:abstractNumId w:val="14"/>
  </w:num>
  <w:num w:numId="14">
    <w:abstractNumId w:val="2"/>
  </w:num>
  <w:num w:numId="15">
    <w:abstractNumId w:val="3"/>
  </w:num>
  <w:num w:numId="16">
    <w:abstractNumId w:val="15"/>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9A"/>
    <w:rsid w:val="00032716"/>
    <w:rsid w:val="000A1345"/>
    <w:rsid w:val="000B50EA"/>
    <w:rsid w:val="000B5919"/>
    <w:rsid w:val="000F43B6"/>
    <w:rsid w:val="001441BC"/>
    <w:rsid w:val="00154D1A"/>
    <w:rsid w:val="001836DB"/>
    <w:rsid w:val="0018733A"/>
    <w:rsid w:val="00191C84"/>
    <w:rsid w:val="00206B52"/>
    <w:rsid w:val="00244EA1"/>
    <w:rsid w:val="00252553"/>
    <w:rsid w:val="002D3302"/>
    <w:rsid w:val="003E5358"/>
    <w:rsid w:val="004046A5"/>
    <w:rsid w:val="00414CF1"/>
    <w:rsid w:val="00455B4D"/>
    <w:rsid w:val="004D287B"/>
    <w:rsid w:val="004D3433"/>
    <w:rsid w:val="0051513B"/>
    <w:rsid w:val="00536CEA"/>
    <w:rsid w:val="0059463F"/>
    <w:rsid w:val="00594A8F"/>
    <w:rsid w:val="005B19DE"/>
    <w:rsid w:val="005C54FA"/>
    <w:rsid w:val="005E703D"/>
    <w:rsid w:val="0066310C"/>
    <w:rsid w:val="006A3223"/>
    <w:rsid w:val="00722D63"/>
    <w:rsid w:val="00765E0F"/>
    <w:rsid w:val="007D427D"/>
    <w:rsid w:val="007E4A61"/>
    <w:rsid w:val="007F6703"/>
    <w:rsid w:val="00820601"/>
    <w:rsid w:val="008279AA"/>
    <w:rsid w:val="008753D1"/>
    <w:rsid w:val="00886B9A"/>
    <w:rsid w:val="008C1308"/>
    <w:rsid w:val="008D0DDF"/>
    <w:rsid w:val="008D1447"/>
    <w:rsid w:val="008F64A5"/>
    <w:rsid w:val="00900765"/>
    <w:rsid w:val="00922DBB"/>
    <w:rsid w:val="00943028"/>
    <w:rsid w:val="00971795"/>
    <w:rsid w:val="00986C97"/>
    <w:rsid w:val="00A62448"/>
    <w:rsid w:val="00AF1A60"/>
    <w:rsid w:val="00B04E6B"/>
    <w:rsid w:val="00B13CF8"/>
    <w:rsid w:val="00B413AD"/>
    <w:rsid w:val="00B87D90"/>
    <w:rsid w:val="00BA45EC"/>
    <w:rsid w:val="00BB7F80"/>
    <w:rsid w:val="00BD7DE3"/>
    <w:rsid w:val="00C761F6"/>
    <w:rsid w:val="00C87AE1"/>
    <w:rsid w:val="00CD498A"/>
    <w:rsid w:val="00CF7245"/>
    <w:rsid w:val="00D21DDC"/>
    <w:rsid w:val="00D50042"/>
    <w:rsid w:val="00D91E24"/>
    <w:rsid w:val="00DC33AD"/>
    <w:rsid w:val="00DF7FEB"/>
    <w:rsid w:val="00E73EDF"/>
    <w:rsid w:val="00E876AB"/>
    <w:rsid w:val="00F013B3"/>
    <w:rsid w:val="00F3527B"/>
    <w:rsid w:val="00F44292"/>
    <w:rsid w:val="00F62BCE"/>
    <w:rsid w:val="00FD187C"/>
    <w:rsid w:val="00FD1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7E9423"/>
  <w14:defaultImageDpi w14:val="32767"/>
  <w15:chartTrackingRefBased/>
  <w15:docId w15:val="{8586CF7D-AEB8-7B45-A173-7907553C5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7F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B9A"/>
    <w:pPr>
      <w:ind w:left="720"/>
      <w:contextualSpacing/>
    </w:pPr>
  </w:style>
  <w:style w:type="paragraph" w:styleId="BodyText">
    <w:name w:val="Body Text"/>
    <w:basedOn w:val="Normal"/>
    <w:link w:val="BodyTextChar"/>
    <w:uiPriority w:val="1"/>
    <w:qFormat/>
    <w:rsid w:val="00252553"/>
    <w:pPr>
      <w:autoSpaceDE w:val="0"/>
      <w:autoSpaceDN w:val="0"/>
      <w:adjustRightInd w:val="0"/>
    </w:pPr>
    <w:rPr>
      <w:rFonts w:ascii="Arial" w:hAnsi="Arial" w:cs="Arial"/>
      <w:sz w:val="19"/>
      <w:szCs w:val="19"/>
    </w:rPr>
  </w:style>
  <w:style w:type="character" w:customStyle="1" w:styleId="BodyTextChar">
    <w:name w:val="Body Text Char"/>
    <w:basedOn w:val="DefaultParagraphFont"/>
    <w:link w:val="BodyText"/>
    <w:uiPriority w:val="1"/>
    <w:rsid w:val="00252553"/>
    <w:rPr>
      <w:rFonts w:ascii="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4063227">
      <w:bodyDiv w:val="1"/>
      <w:marLeft w:val="0"/>
      <w:marRight w:val="0"/>
      <w:marTop w:val="0"/>
      <w:marBottom w:val="0"/>
      <w:divBdr>
        <w:top w:val="none" w:sz="0" w:space="0" w:color="auto"/>
        <w:left w:val="none" w:sz="0" w:space="0" w:color="auto"/>
        <w:bottom w:val="none" w:sz="0" w:space="0" w:color="auto"/>
        <w:right w:val="none" w:sz="0" w:space="0" w:color="auto"/>
      </w:divBdr>
      <w:divsChild>
        <w:div w:id="318732667">
          <w:marLeft w:val="0"/>
          <w:marRight w:val="0"/>
          <w:marTop w:val="0"/>
          <w:marBottom w:val="0"/>
          <w:divBdr>
            <w:top w:val="none" w:sz="0" w:space="0" w:color="auto"/>
            <w:left w:val="none" w:sz="0" w:space="0" w:color="auto"/>
            <w:bottom w:val="none" w:sz="0" w:space="0" w:color="auto"/>
            <w:right w:val="none" w:sz="0" w:space="0" w:color="auto"/>
          </w:divBdr>
        </w:div>
        <w:div w:id="130366346">
          <w:marLeft w:val="0"/>
          <w:marRight w:val="0"/>
          <w:marTop w:val="0"/>
          <w:marBottom w:val="0"/>
          <w:divBdr>
            <w:top w:val="none" w:sz="0" w:space="0" w:color="auto"/>
            <w:left w:val="none" w:sz="0" w:space="0" w:color="auto"/>
            <w:bottom w:val="none" w:sz="0" w:space="0" w:color="auto"/>
            <w:right w:val="none" w:sz="0" w:space="0" w:color="auto"/>
          </w:divBdr>
        </w:div>
        <w:div w:id="1051733405">
          <w:marLeft w:val="0"/>
          <w:marRight w:val="0"/>
          <w:marTop w:val="0"/>
          <w:marBottom w:val="0"/>
          <w:divBdr>
            <w:top w:val="none" w:sz="0" w:space="0" w:color="auto"/>
            <w:left w:val="none" w:sz="0" w:space="0" w:color="auto"/>
            <w:bottom w:val="none" w:sz="0" w:space="0" w:color="auto"/>
            <w:right w:val="none" w:sz="0" w:space="0" w:color="auto"/>
          </w:divBdr>
        </w:div>
        <w:div w:id="1709722523">
          <w:marLeft w:val="0"/>
          <w:marRight w:val="0"/>
          <w:marTop w:val="0"/>
          <w:marBottom w:val="0"/>
          <w:divBdr>
            <w:top w:val="none" w:sz="0" w:space="0" w:color="auto"/>
            <w:left w:val="none" w:sz="0" w:space="0" w:color="auto"/>
            <w:bottom w:val="none" w:sz="0" w:space="0" w:color="auto"/>
            <w:right w:val="none" w:sz="0" w:space="0" w:color="auto"/>
          </w:divBdr>
        </w:div>
        <w:div w:id="127745462">
          <w:marLeft w:val="0"/>
          <w:marRight w:val="0"/>
          <w:marTop w:val="0"/>
          <w:marBottom w:val="0"/>
          <w:divBdr>
            <w:top w:val="none" w:sz="0" w:space="0" w:color="auto"/>
            <w:left w:val="none" w:sz="0" w:space="0" w:color="auto"/>
            <w:bottom w:val="none" w:sz="0" w:space="0" w:color="auto"/>
            <w:right w:val="none" w:sz="0" w:space="0" w:color="auto"/>
          </w:divBdr>
        </w:div>
        <w:div w:id="114368970">
          <w:marLeft w:val="0"/>
          <w:marRight w:val="0"/>
          <w:marTop w:val="0"/>
          <w:marBottom w:val="0"/>
          <w:divBdr>
            <w:top w:val="none" w:sz="0" w:space="0" w:color="auto"/>
            <w:left w:val="none" w:sz="0" w:space="0" w:color="auto"/>
            <w:bottom w:val="none" w:sz="0" w:space="0" w:color="auto"/>
            <w:right w:val="none" w:sz="0" w:space="0" w:color="auto"/>
          </w:divBdr>
        </w:div>
        <w:div w:id="1622419316">
          <w:marLeft w:val="0"/>
          <w:marRight w:val="0"/>
          <w:marTop w:val="0"/>
          <w:marBottom w:val="0"/>
          <w:divBdr>
            <w:top w:val="none" w:sz="0" w:space="0" w:color="auto"/>
            <w:left w:val="none" w:sz="0" w:space="0" w:color="auto"/>
            <w:bottom w:val="none" w:sz="0" w:space="0" w:color="auto"/>
            <w:right w:val="none" w:sz="0" w:space="0" w:color="auto"/>
          </w:divBdr>
        </w:div>
        <w:div w:id="857505374">
          <w:marLeft w:val="0"/>
          <w:marRight w:val="0"/>
          <w:marTop w:val="0"/>
          <w:marBottom w:val="0"/>
          <w:divBdr>
            <w:top w:val="none" w:sz="0" w:space="0" w:color="auto"/>
            <w:left w:val="none" w:sz="0" w:space="0" w:color="auto"/>
            <w:bottom w:val="none" w:sz="0" w:space="0" w:color="auto"/>
            <w:right w:val="none" w:sz="0" w:space="0" w:color="auto"/>
          </w:divBdr>
        </w:div>
        <w:div w:id="453910369">
          <w:marLeft w:val="0"/>
          <w:marRight w:val="0"/>
          <w:marTop w:val="0"/>
          <w:marBottom w:val="0"/>
          <w:divBdr>
            <w:top w:val="none" w:sz="0" w:space="0" w:color="auto"/>
            <w:left w:val="none" w:sz="0" w:space="0" w:color="auto"/>
            <w:bottom w:val="none" w:sz="0" w:space="0" w:color="auto"/>
            <w:right w:val="none" w:sz="0" w:space="0" w:color="auto"/>
          </w:divBdr>
        </w:div>
        <w:div w:id="1447624830">
          <w:marLeft w:val="0"/>
          <w:marRight w:val="0"/>
          <w:marTop w:val="0"/>
          <w:marBottom w:val="0"/>
          <w:divBdr>
            <w:top w:val="none" w:sz="0" w:space="0" w:color="auto"/>
            <w:left w:val="none" w:sz="0" w:space="0" w:color="auto"/>
            <w:bottom w:val="none" w:sz="0" w:space="0" w:color="auto"/>
            <w:right w:val="none" w:sz="0" w:space="0" w:color="auto"/>
          </w:divBdr>
        </w:div>
        <w:div w:id="1466392835">
          <w:marLeft w:val="0"/>
          <w:marRight w:val="0"/>
          <w:marTop w:val="0"/>
          <w:marBottom w:val="0"/>
          <w:divBdr>
            <w:top w:val="none" w:sz="0" w:space="0" w:color="auto"/>
            <w:left w:val="none" w:sz="0" w:space="0" w:color="auto"/>
            <w:bottom w:val="none" w:sz="0" w:space="0" w:color="auto"/>
            <w:right w:val="none" w:sz="0" w:space="0" w:color="auto"/>
          </w:divBdr>
        </w:div>
        <w:div w:id="1482040573">
          <w:marLeft w:val="0"/>
          <w:marRight w:val="0"/>
          <w:marTop w:val="0"/>
          <w:marBottom w:val="0"/>
          <w:divBdr>
            <w:top w:val="none" w:sz="0" w:space="0" w:color="auto"/>
            <w:left w:val="none" w:sz="0" w:space="0" w:color="auto"/>
            <w:bottom w:val="none" w:sz="0" w:space="0" w:color="auto"/>
            <w:right w:val="none" w:sz="0" w:space="0" w:color="auto"/>
          </w:divBdr>
        </w:div>
        <w:div w:id="483008586">
          <w:marLeft w:val="0"/>
          <w:marRight w:val="0"/>
          <w:marTop w:val="0"/>
          <w:marBottom w:val="0"/>
          <w:divBdr>
            <w:top w:val="none" w:sz="0" w:space="0" w:color="auto"/>
            <w:left w:val="none" w:sz="0" w:space="0" w:color="auto"/>
            <w:bottom w:val="none" w:sz="0" w:space="0" w:color="auto"/>
            <w:right w:val="none" w:sz="0" w:space="0" w:color="auto"/>
          </w:divBdr>
        </w:div>
        <w:div w:id="1370834203">
          <w:marLeft w:val="0"/>
          <w:marRight w:val="0"/>
          <w:marTop w:val="0"/>
          <w:marBottom w:val="0"/>
          <w:divBdr>
            <w:top w:val="none" w:sz="0" w:space="0" w:color="auto"/>
            <w:left w:val="none" w:sz="0" w:space="0" w:color="auto"/>
            <w:bottom w:val="none" w:sz="0" w:space="0" w:color="auto"/>
            <w:right w:val="none" w:sz="0" w:space="0" w:color="auto"/>
          </w:divBdr>
        </w:div>
        <w:div w:id="874274778">
          <w:marLeft w:val="0"/>
          <w:marRight w:val="0"/>
          <w:marTop w:val="0"/>
          <w:marBottom w:val="0"/>
          <w:divBdr>
            <w:top w:val="none" w:sz="0" w:space="0" w:color="auto"/>
            <w:left w:val="none" w:sz="0" w:space="0" w:color="auto"/>
            <w:bottom w:val="none" w:sz="0" w:space="0" w:color="auto"/>
            <w:right w:val="none" w:sz="0" w:space="0" w:color="auto"/>
          </w:divBdr>
        </w:div>
        <w:div w:id="1692487328">
          <w:marLeft w:val="0"/>
          <w:marRight w:val="0"/>
          <w:marTop w:val="0"/>
          <w:marBottom w:val="0"/>
          <w:divBdr>
            <w:top w:val="none" w:sz="0" w:space="0" w:color="auto"/>
            <w:left w:val="none" w:sz="0" w:space="0" w:color="auto"/>
            <w:bottom w:val="none" w:sz="0" w:space="0" w:color="auto"/>
            <w:right w:val="none" w:sz="0" w:space="0" w:color="auto"/>
          </w:divBdr>
        </w:div>
        <w:div w:id="1881550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6</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pender</dc:creator>
  <cp:keywords/>
  <dc:description/>
  <cp:lastModifiedBy>mark pender</cp:lastModifiedBy>
  <cp:revision>49</cp:revision>
  <dcterms:created xsi:type="dcterms:W3CDTF">2019-05-22T11:14:00Z</dcterms:created>
  <dcterms:modified xsi:type="dcterms:W3CDTF">2020-09-11T09:47:00Z</dcterms:modified>
</cp:coreProperties>
</file>