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C7C" w:rsidRPr="00EE0E24" w:rsidRDefault="007C7C7C" w:rsidP="00D50E9D">
      <w:pPr>
        <w:spacing w:after="210" w:line="280" w:lineRule="exact"/>
        <w:jc w:val="both"/>
        <w:rPr>
          <w:rFonts w:cs="Arial"/>
          <w:b/>
          <w:color w:val="000000" w:themeColor="text1"/>
          <w:szCs w:val="21"/>
        </w:rPr>
      </w:pPr>
    </w:p>
    <w:p w:rsidR="00D50E9D" w:rsidRPr="00EE0E24" w:rsidRDefault="00D50E9D" w:rsidP="00D50E9D">
      <w:pPr>
        <w:spacing w:after="210" w:line="280" w:lineRule="exact"/>
        <w:jc w:val="both"/>
        <w:rPr>
          <w:rFonts w:cs="Arial"/>
          <w:b/>
          <w:color w:val="000000" w:themeColor="text1"/>
          <w:szCs w:val="21"/>
        </w:rPr>
      </w:pPr>
      <w:r w:rsidRPr="00EE0E24">
        <w:rPr>
          <w:rFonts w:cs="Arial"/>
          <w:b/>
          <w:color w:val="000000" w:themeColor="text1"/>
          <w:szCs w:val="21"/>
        </w:rPr>
        <w:t>APPEAL STATEMENT ON BEHALF OF THE APPELLANT</w:t>
      </w:r>
    </w:p>
    <w:p w:rsidR="00D50E9D" w:rsidRPr="00AE0A35" w:rsidRDefault="00615B7C" w:rsidP="002779EF">
      <w:pPr>
        <w:jc w:val="both"/>
        <w:rPr>
          <w:rFonts w:cs="Times New Roman"/>
          <w:b/>
        </w:rPr>
      </w:pPr>
      <w:r>
        <w:rPr>
          <w:rFonts w:cs="Times New Roman"/>
          <w:b/>
        </w:rPr>
        <w:t>Mr. Durim Tusha</w:t>
      </w:r>
    </w:p>
    <w:p w:rsidR="00AE0A35" w:rsidRPr="00AE0A35" w:rsidRDefault="00AE0A35" w:rsidP="002779EF">
      <w:pPr>
        <w:jc w:val="both"/>
        <w:rPr>
          <w:rFonts w:cs="Times New Roman"/>
          <w:b/>
          <w:color w:val="000000" w:themeColor="text1"/>
        </w:rPr>
      </w:pPr>
    </w:p>
    <w:p w:rsidR="008E1A82" w:rsidRPr="00AE0A35" w:rsidRDefault="00615B7C" w:rsidP="00AE0A35">
      <w:pPr>
        <w:autoSpaceDE w:val="0"/>
        <w:autoSpaceDN w:val="0"/>
        <w:adjustRightInd w:val="0"/>
        <w:rPr>
          <w:rFonts w:cs="ñËÑ˛"/>
          <w:b/>
        </w:rPr>
      </w:pPr>
      <w:r>
        <w:rPr>
          <w:rFonts w:cs="ñËÑ˛"/>
          <w:b/>
        </w:rPr>
        <w:t>70 Violet Avenue, Uxbridge, UB8 3PT</w:t>
      </w:r>
    </w:p>
    <w:p w:rsidR="001B3B19" w:rsidRPr="00EE0E24" w:rsidRDefault="001B3B19" w:rsidP="001B3B19">
      <w:pPr>
        <w:jc w:val="both"/>
        <w:rPr>
          <w:color w:val="000000" w:themeColor="text1"/>
        </w:rPr>
        <w:sectPr w:rsidR="001B3B19" w:rsidRPr="00EE0E24" w:rsidSect="000C2669">
          <w:headerReference w:type="default" r:id="rId7"/>
          <w:footerReference w:type="default" r:id="rId8"/>
          <w:pgSz w:w="11900" w:h="16840"/>
          <w:pgMar w:top="2552" w:right="1701" w:bottom="851" w:left="851" w:header="709" w:footer="709" w:gutter="0"/>
          <w:cols w:space="708"/>
          <w:docGrid w:linePitch="360"/>
        </w:sectPr>
      </w:pPr>
    </w:p>
    <w:p w:rsidR="00D50E9D" w:rsidRPr="00EE0E24" w:rsidRDefault="00D50E9D" w:rsidP="00D50E9D">
      <w:pPr>
        <w:spacing w:after="210" w:line="280" w:lineRule="exact"/>
        <w:rPr>
          <w:b/>
          <w:color w:val="000000" w:themeColor="text1"/>
        </w:rPr>
      </w:pPr>
      <w:r w:rsidRPr="00EE0E24">
        <w:rPr>
          <w:b/>
          <w:color w:val="000000" w:themeColor="text1"/>
        </w:rPr>
        <w:lastRenderedPageBreak/>
        <w:t>CONTENTS</w:t>
      </w:r>
    </w:p>
    <w:p w:rsidR="00D50E9D" w:rsidRPr="00EE0E24" w:rsidRDefault="00D50E9D" w:rsidP="00D50E9D">
      <w:pPr>
        <w:pStyle w:val="ListParagraph"/>
        <w:spacing w:after="210" w:line="280" w:lineRule="exact"/>
        <w:ind w:left="360"/>
        <w:rPr>
          <w:color w:val="000000" w:themeColor="text1"/>
        </w:rPr>
      </w:pPr>
    </w:p>
    <w:p w:rsidR="004C3B95" w:rsidRPr="00EE0E24" w:rsidRDefault="00D50E9D" w:rsidP="0065400E">
      <w:pPr>
        <w:pStyle w:val="ListParagraph"/>
        <w:numPr>
          <w:ilvl w:val="0"/>
          <w:numId w:val="9"/>
        </w:numPr>
        <w:spacing w:after="210" w:line="280" w:lineRule="exact"/>
        <w:rPr>
          <w:color w:val="000000" w:themeColor="text1"/>
        </w:rPr>
      </w:pPr>
      <w:r w:rsidRPr="00EE0E24">
        <w:rPr>
          <w:color w:val="000000" w:themeColor="text1"/>
        </w:rPr>
        <w:t xml:space="preserve">Background </w:t>
      </w:r>
    </w:p>
    <w:p w:rsidR="0065400E" w:rsidRPr="00EE0E24" w:rsidRDefault="0065400E" w:rsidP="0065400E">
      <w:pPr>
        <w:pStyle w:val="ListParagraph"/>
        <w:spacing w:after="210" w:line="280" w:lineRule="exact"/>
        <w:ind w:left="360"/>
        <w:rPr>
          <w:color w:val="000000" w:themeColor="text1"/>
        </w:rPr>
      </w:pPr>
    </w:p>
    <w:p w:rsidR="00D008FC" w:rsidRDefault="00AE0A35" w:rsidP="00AE7B8C">
      <w:pPr>
        <w:pStyle w:val="ListParagraph"/>
        <w:numPr>
          <w:ilvl w:val="0"/>
          <w:numId w:val="9"/>
        </w:numPr>
        <w:jc w:val="both"/>
        <w:rPr>
          <w:color w:val="000000" w:themeColor="text1"/>
        </w:rPr>
      </w:pPr>
      <w:r>
        <w:rPr>
          <w:color w:val="000000" w:themeColor="text1"/>
        </w:rPr>
        <w:t>Reason</w:t>
      </w:r>
      <w:r w:rsidR="00DF0DF2">
        <w:rPr>
          <w:color w:val="000000" w:themeColor="text1"/>
        </w:rPr>
        <w:t>s</w:t>
      </w:r>
      <w:r w:rsidR="00AE7B8C" w:rsidRPr="00EE0E24">
        <w:rPr>
          <w:color w:val="000000" w:themeColor="text1"/>
        </w:rPr>
        <w:t xml:space="preserve"> </w:t>
      </w:r>
      <w:r w:rsidR="008E28B6" w:rsidRPr="00EE0E24">
        <w:rPr>
          <w:color w:val="000000" w:themeColor="text1"/>
        </w:rPr>
        <w:t>for</w:t>
      </w:r>
      <w:r w:rsidR="00AE7B8C" w:rsidRPr="00EE0E24">
        <w:rPr>
          <w:color w:val="000000" w:themeColor="text1"/>
        </w:rPr>
        <w:t xml:space="preserve"> Refusal</w:t>
      </w:r>
    </w:p>
    <w:p w:rsidR="00484B5D" w:rsidRPr="00DF0DF2" w:rsidRDefault="00484B5D" w:rsidP="00DF0DF2">
      <w:pPr>
        <w:rPr>
          <w:color w:val="000000" w:themeColor="text1"/>
        </w:rPr>
      </w:pPr>
    </w:p>
    <w:p w:rsidR="00484B5D" w:rsidRPr="00EE0E24" w:rsidRDefault="00484B5D" w:rsidP="00AE7B8C">
      <w:pPr>
        <w:pStyle w:val="ListParagraph"/>
        <w:numPr>
          <w:ilvl w:val="0"/>
          <w:numId w:val="9"/>
        </w:numPr>
        <w:jc w:val="both"/>
        <w:rPr>
          <w:color w:val="000000" w:themeColor="text1"/>
        </w:rPr>
      </w:pPr>
      <w:r w:rsidRPr="00EE0E24">
        <w:rPr>
          <w:color w:val="000000" w:themeColor="text1"/>
        </w:rPr>
        <w:t>Conclusion</w:t>
      </w:r>
    </w:p>
    <w:p w:rsidR="00AE7B8C" w:rsidRPr="00EE0E24" w:rsidRDefault="00AE7B8C" w:rsidP="00AE7B8C">
      <w:pPr>
        <w:jc w:val="both"/>
        <w:rPr>
          <w:color w:val="000000" w:themeColor="text1"/>
        </w:rPr>
      </w:pPr>
    </w:p>
    <w:p w:rsidR="00AE7B8C" w:rsidRPr="00EE0E24" w:rsidRDefault="00AE7B8C" w:rsidP="009A6CCF">
      <w:pPr>
        <w:jc w:val="both"/>
        <w:rPr>
          <w:color w:val="000000" w:themeColor="text1"/>
        </w:rPr>
      </w:pPr>
      <w:r w:rsidRPr="00EE0E24">
        <w:rPr>
          <w:color w:val="000000" w:themeColor="text1"/>
        </w:rPr>
        <w:t xml:space="preserve">      </w:t>
      </w:r>
    </w:p>
    <w:p w:rsidR="00AE7B8C" w:rsidRPr="00EE0E24" w:rsidRDefault="00AE7B8C" w:rsidP="002E5601">
      <w:pPr>
        <w:jc w:val="both"/>
        <w:rPr>
          <w:color w:val="000000" w:themeColor="text1"/>
        </w:rPr>
      </w:pPr>
      <w:r w:rsidRPr="00EE0E24">
        <w:rPr>
          <w:color w:val="000000" w:themeColor="text1"/>
        </w:rPr>
        <w:t xml:space="preserve">      </w:t>
      </w:r>
    </w:p>
    <w:p w:rsidR="00AE7B8C" w:rsidRPr="00EE0E24" w:rsidRDefault="00AE7B8C" w:rsidP="00AE7B8C">
      <w:pPr>
        <w:jc w:val="both"/>
        <w:rPr>
          <w:color w:val="000000" w:themeColor="text1"/>
        </w:rPr>
      </w:pPr>
    </w:p>
    <w:p w:rsidR="00AE7B8C" w:rsidRPr="00EE0E24" w:rsidRDefault="00AE7B8C" w:rsidP="00AE7B8C">
      <w:pPr>
        <w:jc w:val="both"/>
        <w:rPr>
          <w:color w:val="000000" w:themeColor="text1"/>
        </w:rPr>
      </w:pPr>
    </w:p>
    <w:p w:rsidR="00AE7B8C" w:rsidRPr="00EE0E24" w:rsidRDefault="00AE7B8C" w:rsidP="00D50E9D">
      <w:pPr>
        <w:jc w:val="both"/>
        <w:rPr>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D50E9D" w:rsidRPr="00EE0E24" w:rsidRDefault="00D50E9D" w:rsidP="00D50E9D">
      <w:pPr>
        <w:jc w:val="both"/>
        <w:rPr>
          <w:b/>
          <w:color w:val="000000" w:themeColor="text1"/>
        </w:rPr>
      </w:pPr>
    </w:p>
    <w:p w:rsidR="00907ABE" w:rsidRPr="00EE0E24" w:rsidRDefault="00907ABE" w:rsidP="00D50E9D">
      <w:pPr>
        <w:spacing w:after="210" w:line="280" w:lineRule="exact"/>
        <w:jc w:val="both"/>
        <w:rPr>
          <w:b/>
          <w:color w:val="000000" w:themeColor="text1"/>
        </w:rPr>
      </w:pPr>
    </w:p>
    <w:p w:rsidR="00907ABE" w:rsidRPr="00EE0E24" w:rsidRDefault="00907ABE" w:rsidP="00D50E9D">
      <w:pPr>
        <w:spacing w:after="210" w:line="280" w:lineRule="exact"/>
        <w:jc w:val="both"/>
        <w:rPr>
          <w:b/>
          <w:color w:val="000000" w:themeColor="text1"/>
        </w:rPr>
      </w:pPr>
    </w:p>
    <w:p w:rsidR="00905A4D" w:rsidRPr="00EE0E24" w:rsidRDefault="00905A4D" w:rsidP="00D50E9D">
      <w:pPr>
        <w:spacing w:after="210" w:line="280" w:lineRule="exact"/>
        <w:jc w:val="both"/>
        <w:rPr>
          <w:b/>
          <w:color w:val="000000" w:themeColor="text1"/>
        </w:rPr>
      </w:pPr>
    </w:p>
    <w:p w:rsidR="00B34F37" w:rsidRDefault="00B34F37" w:rsidP="00474F3B">
      <w:pPr>
        <w:spacing w:after="210" w:line="280" w:lineRule="exact"/>
        <w:jc w:val="both"/>
        <w:rPr>
          <w:color w:val="000000" w:themeColor="text1"/>
        </w:rPr>
      </w:pPr>
    </w:p>
    <w:p w:rsidR="00130E72" w:rsidRDefault="00130E72" w:rsidP="00474F3B">
      <w:pPr>
        <w:spacing w:after="210" w:line="280" w:lineRule="exact"/>
        <w:jc w:val="both"/>
        <w:rPr>
          <w:color w:val="000000" w:themeColor="text1"/>
        </w:rPr>
      </w:pPr>
    </w:p>
    <w:p w:rsidR="00130E72" w:rsidRDefault="00130E72" w:rsidP="00474F3B">
      <w:pPr>
        <w:spacing w:after="210" w:line="280" w:lineRule="exact"/>
        <w:jc w:val="both"/>
        <w:rPr>
          <w:color w:val="000000" w:themeColor="text1"/>
        </w:rPr>
      </w:pPr>
    </w:p>
    <w:p w:rsidR="00130E72" w:rsidRPr="00474F3B" w:rsidRDefault="00130E72" w:rsidP="00474F3B">
      <w:pPr>
        <w:spacing w:after="210" w:line="280" w:lineRule="exact"/>
        <w:jc w:val="both"/>
        <w:rPr>
          <w:color w:val="000000" w:themeColor="text1"/>
        </w:rPr>
      </w:pPr>
    </w:p>
    <w:p w:rsidR="002E5601" w:rsidRPr="00EE0E24" w:rsidRDefault="006757B7" w:rsidP="002E5601">
      <w:pPr>
        <w:spacing w:after="210" w:line="280" w:lineRule="exact"/>
        <w:jc w:val="both"/>
        <w:rPr>
          <w:b/>
          <w:color w:val="000000" w:themeColor="text1"/>
        </w:rPr>
      </w:pPr>
      <w:r w:rsidRPr="00EE0E24">
        <w:rPr>
          <w:b/>
          <w:color w:val="000000" w:themeColor="text1"/>
        </w:rPr>
        <w:t>Appendices</w:t>
      </w:r>
    </w:p>
    <w:p w:rsidR="00E13C5D" w:rsidRDefault="00360688" w:rsidP="00615B7C">
      <w:pPr>
        <w:pStyle w:val="ListParagraph"/>
        <w:numPr>
          <w:ilvl w:val="0"/>
          <w:numId w:val="23"/>
        </w:numPr>
        <w:spacing w:after="210" w:line="280" w:lineRule="exact"/>
        <w:jc w:val="both"/>
        <w:rPr>
          <w:color w:val="000000" w:themeColor="text1"/>
        </w:rPr>
      </w:pPr>
      <w:r>
        <w:rPr>
          <w:color w:val="000000" w:themeColor="text1"/>
        </w:rPr>
        <w:t>Email from case officer dated 6</w:t>
      </w:r>
      <w:r w:rsidRPr="00360688">
        <w:rPr>
          <w:color w:val="000000" w:themeColor="text1"/>
          <w:vertAlign w:val="superscript"/>
        </w:rPr>
        <w:t>th</w:t>
      </w:r>
      <w:r>
        <w:rPr>
          <w:color w:val="000000" w:themeColor="text1"/>
        </w:rPr>
        <w:t xml:space="preserve"> June 2018</w:t>
      </w:r>
    </w:p>
    <w:p w:rsidR="003B422E" w:rsidRDefault="003B422E" w:rsidP="00615B7C">
      <w:pPr>
        <w:pStyle w:val="ListParagraph"/>
        <w:numPr>
          <w:ilvl w:val="0"/>
          <w:numId w:val="23"/>
        </w:numPr>
        <w:spacing w:after="210" w:line="280" w:lineRule="exact"/>
        <w:jc w:val="both"/>
        <w:rPr>
          <w:color w:val="000000" w:themeColor="text1"/>
        </w:rPr>
      </w:pPr>
      <w:r>
        <w:rPr>
          <w:color w:val="000000" w:themeColor="text1"/>
        </w:rPr>
        <w:t>Archanaeum Statement</w:t>
      </w:r>
    </w:p>
    <w:p w:rsidR="003C174D" w:rsidRDefault="003C174D" w:rsidP="00615B7C">
      <w:pPr>
        <w:pStyle w:val="ListParagraph"/>
        <w:numPr>
          <w:ilvl w:val="0"/>
          <w:numId w:val="23"/>
        </w:numPr>
        <w:spacing w:after="210" w:line="280" w:lineRule="exact"/>
        <w:jc w:val="both"/>
        <w:rPr>
          <w:color w:val="000000" w:themeColor="text1"/>
        </w:rPr>
      </w:pPr>
      <w:r>
        <w:rPr>
          <w:color w:val="000000" w:themeColor="text1"/>
        </w:rPr>
        <w:t>Transport Statement</w:t>
      </w:r>
    </w:p>
    <w:p w:rsidR="00682ADA" w:rsidRDefault="00682ADA" w:rsidP="00615B7C">
      <w:pPr>
        <w:pStyle w:val="ListParagraph"/>
        <w:numPr>
          <w:ilvl w:val="0"/>
          <w:numId w:val="23"/>
        </w:numPr>
        <w:spacing w:after="210" w:line="280" w:lineRule="exact"/>
        <w:jc w:val="both"/>
        <w:rPr>
          <w:color w:val="000000" w:themeColor="text1"/>
        </w:rPr>
      </w:pPr>
      <w:r>
        <w:rPr>
          <w:color w:val="000000" w:themeColor="text1"/>
        </w:rPr>
        <w:t>Daylight &amp; Sunlight Report</w:t>
      </w:r>
    </w:p>
    <w:p w:rsidR="00360688" w:rsidRDefault="003C174D" w:rsidP="00615B7C">
      <w:pPr>
        <w:pStyle w:val="ListParagraph"/>
        <w:numPr>
          <w:ilvl w:val="0"/>
          <w:numId w:val="23"/>
        </w:numPr>
        <w:spacing w:after="210" w:line="280" w:lineRule="exact"/>
        <w:jc w:val="both"/>
        <w:rPr>
          <w:color w:val="000000" w:themeColor="text1"/>
        </w:rPr>
      </w:pPr>
      <w:r>
        <w:rPr>
          <w:color w:val="000000" w:themeColor="text1"/>
        </w:rPr>
        <w:t>Arboricultural Impact Assessment</w:t>
      </w:r>
    </w:p>
    <w:p w:rsidR="00130E72" w:rsidRDefault="00130E72" w:rsidP="00615B7C">
      <w:pPr>
        <w:pStyle w:val="ListParagraph"/>
        <w:numPr>
          <w:ilvl w:val="0"/>
          <w:numId w:val="23"/>
        </w:numPr>
        <w:spacing w:after="210" w:line="280" w:lineRule="exact"/>
        <w:jc w:val="both"/>
        <w:rPr>
          <w:color w:val="000000" w:themeColor="text1"/>
        </w:rPr>
      </w:pPr>
      <w:r>
        <w:rPr>
          <w:color w:val="000000" w:themeColor="text1"/>
        </w:rPr>
        <w:t>Revised Drawings</w:t>
      </w:r>
    </w:p>
    <w:p w:rsidR="00682ADA" w:rsidRPr="00615B7C" w:rsidRDefault="00682ADA" w:rsidP="00615B7C">
      <w:pPr>
        <w:spacing w:after="210" w:line="280" w:lineRule="exact"/>
        <w:jc w:val="both"/>
        <w:rPr>
          <w:color w:val="000000" w:themeColor="text1"/>
        </w:rPr>
      </w:pPr>
    </w:p>
    <w:p w:rsidR="00D50E9D" w:rsidRPr="00EE0E24" w:rsidRDefault="00FC5885" w:rsidP="00D50E9D">
      <w:pPr>
        <w:pStyle w:val="ListParagraph"/>
        <w:numPr>
          <w:ilvl w:val="0"/>
          <w:numId w:val="10"/>
        </w:numPr>
        <w:spacing w:after="210" w:line="280" w:lineRule="exact"/>
        <w:jc w:val="both"/>
        <w:rPr>
          <w:b/>
          <w:color w:val="000000" w:themeColor="text1"/>
        </w:rPr>
      </w:pPr>
      <w:r>
        <w:rPr>
          <w:b/>
          <w:color w:val="000000" w:themeColor="text1"/>
        </w:rPr>
        <w:lastRenderedPageBreak/>
        <w:t xml:space="preserve">      </w:t>
      </w:r>
      <w:r w:rsidR="0065400E" w:rsidRPr="00EE0E24">
        <w:rPr>
          <w:b/>
          <w:color w:val="000000" w:themeColor="text1"/>
        </w:rPr>
        <w:t>Background</w:t>
      </w:r>
    </w:p>
    <w:p w:rsidR="007E52C6" w:rsidRDefault="00C84EE0" w:rsidP="00615B7C">
      <w:pPr>
        <w:pStyle w:val="Default"/>
        <w:ind w:left="720" w:hanging="720"/>
        <w:jc w:val="both"/>
        <w:rPr>
          <w:rFonts w:asciiTheme="minorHAnsi" w:hAnsiTheme="minorHAnsi" w:cs="Times New Roman"/>
          <w:color w:val="000000" w:themeColor="text1"/>
        </w:rPr>
      </w:pPr>
      <w:r w:rsidRPr="00EE0E24">
        <w:rPr>
          <w:rFonts w:asciiTheme="minorHAnsi" w:hAnsiTheme="minorHAnsi" w:cs="Times New Roman"/>
          <w:color w:val="000000" w:themeColor="text1"/>
        </w:rPr>
        <w:t>1</w:t>
      </w:r>
      <w:r w:rsidR="00D50E9D" w:rsidRPr="00EE0E24">
        <w:rPr>
          <w:rFonts w:asciiTheme="minorHAnsi" w:hAnsiTheme="minorHAnsi" w:cs="Times New Roman"/>
          <w:color w:val="000000" w:themeColor="text1"/>
        </w:rPr>
        <w:t>.1</w:t>
      </w:r>
      <w:r w:rsidR="00AE0A35">
        <w:rPr>
          <w:rFonts w:asciiTheme="minorHAnsi" w:hAnsiTheme="minorHAnsi" w:cs="Times New Roman"/>
          <w:color w:val="000000" w:themeColor="text1"/>
        </w:rPr>
        <w:tab/>
        <w:t>Following a meeting</w:t>
      </w:r>
      <w:r w:rsidR="00615B7C">
        <w:rPr>
          <w:rFonts w:asciiTheme="minorHAnsi" w:hAnsiTheme="minorHAnsi" w:cs="Times New Roman"/>
          <w:color w:val="000000" w:themeColor="text1"/>
        </w:rPr>
        <w:t>, pre-application advice was issued by the Council on the 9th February 2018 for the erection of a building accommodating 4 flats (1 x 1 bed, 2 x 2 bed and 1 x 3 bed). Whilst the principle was considered acceptable, the advice concluded:</w:t>
      </w:r>
    </w:p>
    <w:p w:rsidR="00615B7C" w:rsidRDefault="00615B7C" w:rsidP="00615B7C">
      <w:pPr>
        <w:pStyle w:val="Default"/>
        <w:ind w:left="720" w:hanging="720"/>
        <w:jc w:val="both"/>
        <w:rPr>
          <w:rFonts w:cs="ñËÑ˛"/>
          <w:i/>
        </w:rPr>
      </w:pPr>
    </w:p>
    <w:p w:rsidR="00615B7C" w:rsidRPr="00615B7C" w:rsidRDefault="00615B7C" w:rsidP="00615B7C">
      <w:pPr>
        <w:autoSpaceDE w:val="0"/>
        <w:autoSpaceDN w:val="0"/>
        <w:adjustRightInd w:val="0"/>
        <w:ind w:left="1440"/>
        <w:jc w:val="both"/>
        <w:rPr>
          <w:rFonts w:cs="Times New Roman"/>
          <w:i/>
        </w:rPr>
      </w:pPr>
      <w:r w:rsidRPr="00615B7C">
        <w:rPr>
          <w:rFonts w:cs="Times New Roman"/>
          <w:i/>
        </w:rPr>
        <w:t>The proposed development would provide four residential units. A number of</w:t>
      </w:r>
      <w:r>
        <w:rPr>
          <w:rFonts w:cs="Times New Roman"/>
          <w:i/>
        </w:rPr>
        <w:t xml:space="preserve"> </w:t>
      </w:r>
      <w:r w:rsidRPr="00615B7C">
        <w:rPr>
          <w:rFonts w:cs="Times New Roman"/>
          <w:i/>
        </w:rPr>
        <w:t>concerns have been raised with the proposal submitted and you are therefore</w:t>
      </w:r>
      <w:r>
        <w:rPr>
          <w:rFonts w:cs="Times New Roman"/>
          <w:i/>
        </w:rPr>
        <w:t xml:space="preserve"> </w:t>
      </w:r>
      <w:r w:rsidRPr="00615B7C">
        <w:rPr>
          <w:rFonts w:cs="Times New Roman"/>
          <w:i/>
        </w:rPr>
        <w:t>encouraged to consider revisions to this scheme. If this scheme were lodged as</w:t>
      </w:r>
      <w:r>
        <w:rPr>
          <w:rFonts w:cs="Times New Roman"/>
          <w:i/>
        </w:rPr>
        <w:t xml:space="preserve"> </w:t>
      </w:r>
      <w:r w:rsidRPr="00615B7C">
        <w:rPr>
          <w:rFonts w:cs="Times New Roman"/>
          <w:i/>
        </w:rPr>
        <w:t>planning application to the Council it would be recommended for refusal.</w:t>
      </w:r>
    </w:p>
    <w:p w:rsidR="00FC5885" w:rsidRDefault="00FC5885" w:rsidP="00FC5885">
      <w:pPr>
        <w:autoSpaceDE w:val="0"/>
        <w:autoSpaceDN w:val="0"/>
        <w:adjustRightInd w:val="0"/>
        <w:jc w:val="both"/>
        <w:rPr>
          <w:rFonts w:cs="ñËÑ˛"/>
          <w:i/>
        </w:rPr>
      </w:pPr>
    </w:p>
    <w:p w:rsidR="00615B7C" w:rsidRDefault="00EC5B8D" w:rsidP="00EC5B8D">
      <w:pPr>
        <w:autoSpaceDE w:val="0"/>
        <w:autoSpaceDN w:val="0"/>
        <w:adjustRightInd w:val="0"/>
        <w:ind w:left="720" w:hanging="720"/>
        <w:jc w:val="both"/>
        <w:rPr>
          <w:rFonts w:cs="Times New Roman"/>
        </w:rPr>
      </w:pPr>
      <w:r>
        <w:rPr>
          <w:rFonts w:cs="ñËÑ˛"/>
        </w:rPr>
        <w:t>1.2</w:t>
      </w:r>
      <w:r>
        <w:rPr>
          <w:rFonts w:cs="ñËÑ˛"/>
        </w:rPr>
        <w:tab/>
        <w:t>On the 16</w:t>
      </w:r>
      <w:r w:rsidRPr="00EC5B8D">
        <w:rPr>
          <w:rFonts w:cs="ñËÑ˛"/>
          <w:vertAlign w:val="superscript"/>
        </w:rPr>
        <w:t>th</w:t>
      </w:r>
      <w:r>
        <w:rPr>
          <w:rFonts w:cs="ñËÑ˛"/>
        </w:rPr>
        <w:t xml:space="preserve"> March 2018, a planning application for the erection of a building accommodating 4 flats (1 x 1 bed, 2 x 2 bed and 1 x 3 bed) with associated amenity space was submitted. The application was registered as valid on the 5</w:t>
      </w:r>
      <w:r w:rsidRPr="00EC5B8D">
        <w:rPr>
          <w:rFonts w:cs="ñËÑ˛"/>
          <w:vertAlign w:val="superscript"/>
        </w:rPr>
        <w:t>th</w:t>
      </w:r>
      <w:r>
        <w:rPr>
          <w:rFonts w:cs="ñËÑ˛"/>
        </w:rPr>
        <w:t xml:space="preserve"> April 2018  and </w:t>
      </w:r>
      <w:r w:rsidRPr="00EC5B8D">
        <w:rPr>
          <w:rFonts w:cs="ñËÑ˛"/>
        </w:rPr>
        <w:t xml:space="preserve">referenced </w:t>
      </w:r>
      <w:r w:rsidRPr="00EC5B8D">
        <w:rPr>
          <w:rFonts w:cs="Times New Roman"/>
        </w:rPr>
        <w:t>73222/APP/2018/1022</w:t>
      </w:r>
      <w:r>
        <w:rPr>
          <w:rFonts w:cs="Times New Roman"/>
        </w:rPr>
        <w:t>. The application addressed the issues raised in the pre-application advice as documented in the submitted Design &amp; Access Statement.</w:t>
      </w:r>
    </w:p>
    <w:p w:rsidR="00EC5B8D" w:rsidRDefault="00EC5B8D" w:rsidP="00EC5B8D">
      <w:pPr>
        <w:autoSpaceDE w:val="0"/>
        <w:autoSpaceDN w:val="0"/>
        <w:adjustRightInd w:val="0"/>
        <w:ind w:left="720" w:hanging="720"/>
        <w:jc w:val="both"/>
        <w:rPr>
          <w:rFonts w:cs="ñËÑ˛"/>
        </w:rPr>
      </w:pPr>
    </w:p>
    <w:p w:rsidR="00EC5B8D" w:rsidRDefault="00EC5B8D" w:rsidP="00EC5B8D">
      <w:pPr>
        <w:autoSpaceDE w:val="0"/>
        <w:autoSpaceDN w:val="0"/>
        <w:adjustRightInd w:val="0"/>
        <w:ind w:left="720" w:hanging="720"/>
        <w:jc w:val="both"/>
        <w:rPr>
          <w:rFonts w:cs="ñËÑ˛"/>
        </w:rPr>
      </w:pPr>
      <w:r>
        <w:rPr>
          <w:rFonts w:cs="ñËÑ˛"/>
        </w:rPr>
        <w:t>1.3</w:t>
      </w:r>
      <w:r>
        <w:rPr>
          <w:rFonts w:cs="ñËÑ˛"/>
        </w:rPr>
        <w:tab/>
        <w:t>On the 6</w:t>
      </w:r>
      <w:r w:rsidRPr="00EC5B8D">
        <w:rPr>
          <w:rFonts w:cs="ñËÑ˛"/>
          <w:vertAlign w:val="superscript"/>
        </w:rPr>
        <w:t>th</w:t>
      </w:r>
      <w:r>
        <w:rPr>
          <w:rFonts w:cs="ñËÑ˛"/>
        </w:rPr>
        <w:t xml:space="preserve"> June 2018, </w:t>
      </w:r>
      <w:r w:rsidR="00360688">
        <w:rPr>
          <w:rFonts w:cs="ñËÑ˛"/>
        </w:rPr>
        <w:t xml:space="preserve">in an email </w:t>
      </w:r>
      <w:r>
        <w:rPr>
          <w:rFonts w:cs="ñËÑ˛"/>
        </w:rPr>
        <w:t xml:space="preserve">the Council’s planning case officer </w:t>
      </w:r>
      <w:r w:rsidR="00360688">
        <w:rPr>
          <w:rFonts w:cs="ñËÑ˛"/>
        </w:rPr>
        <w:t xml:space="preserve">raised a number of issues (see Appendix 1). </w:t>
      </w:r>
    </w:p>
    <w:p w:rsidR="00360688" w:rsidRDefault="00360688" w:rsidP="00EC5B8D">
      <w:pPr>
        <w:autoSpaceDE w:val="0"/>
        <w:autoSpaceDN w:val="0"/>
        <w:adjustRightInd w:val="0"/>
        <w:ind w:left="720" w:hanging="720"/>
        <w:jc w:val="both"/>
        <w:rPr>
          <w:rFonts w:cs="ñËÑ˛"/>
        </w:rPr>
      </w:pPr>
    </w:p>
    <w:p w:rsidR="00342E02" w:rsidRDefault="00360688" w:rsidP="00EC5B8D">
      <w:pPr>
        <w:autoSpaceDE w:val="0"/>
        <w:autoSpaceDN w:val="0"/>
        <w:adjustRightInd w:val="0"/>
        <w:ind w:left="720" w:hanging="720"/>
        <w:jc w:val="both"/>
        <w:rPr>
          <w:rFonts w:cs="ñËÑ˛"/>
        </w:rPr>
      </w:pPr>
      <w:r>
        <w:rPr>
          <w:rFonts w:cs="ñËÑ˛"/>
        </w:rPr>
        <w:t>1.4</w:t>
      </w:r>
      <w:r>
        <w:rPr>
          <w:rFonts w:cs="ñËÑ˛"/>
        </w:rPr>
        <w:tab/>
        <w:t>In response, the applicant formally submitted revisions which positively addressed the issues raised. Neverthel</w:t>
      </w:r>
      <w:r w:rsidR="00342E02">
        <w:rPr>
          <w:rFonts w:cs="ñËÑ˛"/>
        </w:rPr>
        <w:t>e</w:t>
      </w:r>
      <w:r>
        <w:rPr>
          <w:rFonts w:cs="ñËÑ˛"/>
        </w:rPr>
        <w:t>ss</w:t>
      </w:r>
      <w:r w:rsidR="00342E02">
        <w:rPr>
          <w:rFonts w:cs="ñËÑ˛"/>
        </w:rPr>
        <w:t>, on the25th August 2018, the Council’s Central South Planning Committee refused planning permission for the following reasons:</w:t>
      </w:r>
    </w:p>
    <w:p w:rsidR="00342E02" w:rsidRDefault="00342E02" w:rsidP="00EC5B8D">
      <w:pPr>
        <w:autoSpaceDE w:val="0"/>
        <w:autoSpaceDN w:val="0"/>
        <w:adjustRightInd w:val="0"/>
        <w:ind w:left="720" w:hanging="720"/>
        <w:jc w:val="both"/>
        <w:rPr>
          <w:rFonts w:cs="ñËÑ˛"/>
        </w:rPr>
      </w:pPr>
    </w:p>
    <w:p w:rsidR="00342E02" w:rsidRPr="00342E02" w:rsidRDefault="00342E02" w:rsidP="00342E02">
      <w:pPr>
        <w:pStyle w:val="ListParagraph"/>
        <w:numPr>
          <w:ilvl w:val="0"/>
          <w:numId w:val="31"/>
        </w:numPr>
        <w:autoSpaceDE w:val="0"/>
        <w:autoSpaceDN w:val="0"/>
        <w:adjustRightInd w:val="0"/>
        <w:jc w:val="both"/>
        <w:rPr>
          <w:rFonts w:cs="Times New Roman"/>
          <w:i/>
        </w:rPr>
      </w:pPr>
      <w:r w:rsidRPr="00342E02">
        <w:rPr>
          <w:rFonts w:cs="Times New Roman"/>
          <w:i/>
        </w:rPr>
        <w:t>The proposal, by virtue of its excessive scale, bulk, layout, site coverage and design, would result in a cramped development of the site, which is visually incongruous and would fail to harmonise with the existing local and historic context of the surrounding area. The principle of intensifying the residential use of the site to the level proposed would have a detrimental impact on the character, appearance and visual amenity of the street scene and the surrounding area generally. The proposal is, thus, contrary to Policy BE1 of the Hillingdon Local Plan: Part One - Strategic Policies (November 2012), Policies BE13 and BE19 of the Hillingdon Local Plan: Part Two - Saved UDP Policies (November 2012), Policies 7.1 and 7.4 of the London Plan (2016) and the Council's adopted Supplementary Planning Document HDAS: Residential Layouts.</w:t>
      </w:r>
    </w:p>
    <w:p w:rsidR="00342E02" w:rsidRPr="00342E02" w:rsidRDefault="00342E02" w:rsidP="00342E02">
      <w:pPr>
        <w:autoSpaceDE w:val="0"/>
        <w:autoSpaceDN w:val="0"/>
        <w:adjustRightInd w:val="0"/>
        <w:jc w:val="both"/>
        <w:rPr>
          <w:rFonts w:cs="Times New Roman"/>
          <w:i/>
        </w:rPr>
      </w:pPr>
    </w:p>
    <w:p w:rsidR="00342E02" w:rsidRPr="00342E02" w:rsidRDefault="00342E02" w:rsidP="00342E02">
      <w:pPr>
        <w:pStyle w:val="ListParagraph"/>
        <w:numPr>
          <w:ilvl w:val="0"/>
          <w:numId w:val="31"/>
        </w:numPr>
        <w:autoSpaceDE w:val="0"/>
        <w:autoSpaceDN w:val="0"/>
        <w:adjustRightInd w:val="0"/>
        <w:jc w:val="both"/>
        <w:rPr>
          <w:rFonts w:cs="Times New Roman"/>
          <w:i/>
        </w:rPr>
      </w:pPr>
      <w:r w:rsidRPr="00342E02">
        <w:rPr>
          <w:rFonts w:cs="Times New Roman"/>
          <w:i/>
        </w:rPr>
        <w:t>The proposal has not demonstrated that sufficient off street parking/manoeuvring arrangements would be provided, and therefore the development is considered to result in substandard car parking provision, leading to on-street parking/queuing to the detriment of public and highway safety and contrary to policy AM14 of the Hillingdon Local Plan: Part Two - Unitary Development Plan Saved Policies (November 2012), to Hillingdon's Adopted Parking Standards as set out in the Hillingdon Local Plan: Part Two - Unitary Development Plan Saved Policies (November 2012) and the adopted Supplementary Planning Document HDAS: Residential Layouts.</w:t>
      </w:r>
    </w:p>
    <w:p w:rsidR="00342E02" w:rsidRDefault="00342E02" w:rsidP="00342E02">
      <w:pPr>
        <w:autoSpaceDE w:val="0"/>
        <w:autoSpaceDN w:val="0"/>
        <w:adjustRightInd w:val="0"/>
        <w:jc w:val="both"/>
        <w:rPr>
          <w:rFonts w:cs="Times New Roman"/>
          <w:i/>
        </w:rPr>
      </w:pPr>
    </w:p>
    <w:p w:rsidR="00342E02" w:rsidRPr="00342E02" w:rsidRDefault="00342E02" w:rsidP="00342E02">
      <w:pPr>
        <w:pStyle w:val="ListParagraph"/>
        <w:numPr>
          <w:ilvl w:val="0"/>
          <w:numId w:val="31"/>
        </w:numPr>
        <w:autoSpaceDE w:val="0"/>
        <w:autoSpaceDN w:val="0"/>
        <w:adjustRightInd w:val="0"/>
        <w:jc w:val="both"/>
        <w:rPr>
          <w:rFonts w:cs="Times New Roman"/>
          <w:i/>
        </w:rPr>
      </w:pPr>
      <w:r w:rsidRPr="00342E02">
        <w:rPr>
          <w:rFonts w:cs="Times New Roman"/>
          <w:i/>
        </w:rPr>
        <w:lastRenderedPageBreak/>
        <w:t>The proposed development, by virtue of its size, scale, bulk, height and proximity, would be detrimental to the amenities of the adjoining occupiers at 68 and 70 Violet Avenue by reason of overdominance, overshadowing, visual intrusion, loss of light and loss of outlook. Therefore the proposal would be contrary to policies BE19, BE20 and BE21 of the Hillingdon Local Plan: Part Two - Saved UDP Policies (November 2012) and the Council's adopted Supplementary Planning Document HDAS: Residential Layouts.</w:t>
      </w:r>
    </w:p>
    <w:p w:rsidR="00342E02" w:rsidRDefault="00342E02" w:rsidP="00342E02">
      <w:pPr>
        <w:autoSpaceDE w:val="0"/>
        <w:autoSpaceDN w:val="0"/>
        <w:adjustRightInd w:val="0"/>
        <w:jc w:val="both"/>
        <w:rPr>
          <w:rFonts w:cs="Times New Roman"/>
          <w:i/>
        </w:rPr>
      </w:pPr>
    </w:p>
    <w:p w:rsidR="00360688" w:rsidRPr="00342E02" w:rsidRDefault="00342E02" w:rsidP="00342E02">
      <w:pPr>
        <w:pStyle w:val="ListParagraph"/>
        <w:numPr>
          <w:ilvl w:val="0"/>
          <w:numId w:val="31"/>
        </w:numPr>
        <w:autoSpaceDE w:val="0"/>
        <w:autoSpaceDN w:val="0"/>
        <w:adjustRightInd w:val="0"/>
        <w:jc w:val="both"/>
        <w:rPr>
          <w:rFonts w:cs="Times New Roman"/>
          <w:i/>
        </w:rPr>
      </w:pPr>
      <w:r w:rsidRPr="00342E02">
        <w:rPr>
          <w:rFonts w:cs="Times New Roman"/>
          <w:i/>
        </w:rPr>
        <w:t>The proposal, by reason of the loss of existing trees within the site, the siting of cycle storage/bin storage on the frontage, the lack of landscaping provision and the excessive level of hardstanding to the frontage, would result in a cluttered, unduly prominent and intrusive form of development to the detriment of the visual amenity of the street scene and the surrounding area generally. Therefore the proposal would be contrary to Policies BE13, BE19 and BE38 of the Hillingdon Local Plan: Part Two - Saved UDP Policies (November 2012) and the Council's adopted Supplementary Planning Document HDAS: Residential Layouts.</w:t>
      </w: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8F56F6" w:rsidRDefault="008F56F6"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220FFA" w:rsidRDefault="00220FFA" w:rsidP="00FC5885">
      <w:pPr>
        <w:autoSpaceDE w:val="0"/>
        <w:autoSpaceDN w:val="0"/>
        <w:adjustRightInd w:val="0"/>
        <w:jc w:val="both"/>
        <w:rPr>
          <w:rFonts w:cs="ñËÑ˛"/>
          <w:b/>
        </w:rPr>
      </w:pPr>
    </w:p>
    <w:p w:rsidR="00FC5885" w:rsidRDefault="00FC5885" w:rsidP="00FC5885">
      <w:pPr>
        <w:autoSpaceDE w:val="0"/>
        <w:autoSpaceDN w:val="0"/>
        <w:adjustRightInd w:val="0"/>
        <w:jc w:val="both"/>
        <w:rPr>
          <w:rFonts w:cs="ñËÑ˛"/>
          <w:b/>
        </w:rPr>
      </w:pPr>
      <w:r>
        <w:rPr>
          <w:rFonts w:cs="ñËÑ˛"/>
          <w:b/>
        </w:rPr>
        <w:lastRenderedPageBreak/>
        <w:t>2.0</w:t>
      </w:r>
      <w:r>
        <w:rPr>
          <w:rFonts w:cs="ñËÑ˛"/>
          <w:b/>
        </w:rPr>
        <w:tab/>
        <w:t>Reason</w:t>
      </w:r>
      <w:r w:rsidR="00DF0DF2">
        <w:rPr>
          <w:rFonts w:cs="ñËÑ˛"/>
          <w:b/>
        </w:rPr>
        <w:t>s</w:t>
      </w:r>
      <w:r>
        <w:rPr>
          <w:rFonts w:cs="ñËÑ˛"/>
          <w:b/>
        </w:rPr>
        <w:t xml:space="preserve"> for Refusal</w:t>
      </w:r>
    </w:p>
    <w:p w:rsidR="00DF0DF2" w:rsidRDefault="00DF0DF2" w:rsidP="00FC5885">
      <w:pPr>
        <w:autoSpaceDE w:val="0"/>
        <w:autoSpaceDN w:val="0"/>
        <w:adjustRightInd w:val="0"/>
        <w:jc w:val="both"/>
        <w:rPr>
          <w:rFonts w:cs="ñËÑ˛"/>
          <w:b/>
        </w:rPr>
      </w:pPr>
    </w:p>
    <w:p w:rsidR="00DF0DF2" w:rsidRPr="00FC5885" w:rsidRDefault="00DF0DF2" w:rsidP="00FC5885">
      <w:pPr>
        <w:autoSpaceDE w:val="0"/>
        <w:autoSpaceDN w:val="0"/>
        <w:adjustRightInd w:val="0"/>
        <w:jc w:val="both"/>
        <w:rPr>
          <w:rFonts w:cs="ñËÑ˛"/>
          <w:b/>
        </w:rPr>
      </w:pPr>
      <w:r>
        <w:rPr>
          <w:rFonts w:cs="ñËÑ˛"/>
          <w:b/>
        </w:rPr>
        <w:t>1</w:t>
      </w:r>
      <w:r w:rsidRPr="00DF0DF2">
        <w:rPr>
          <w:rFonts w:cs="ñËÑ˛"/>
          <w:b/>
          <w:vertAlign w:val="superscript"/>
        </w:rPr>
        <w:t>st</w:t>
      </w:r>
      <w:r>
        <w:rPr>
          <w:rFonts w:cs="ñËÑ˛"/>
          <w:b/>
        </w:rPr>
        <w:t xml:space="preserve"> Reason</w:t>
      </w:r>
    </w:p>
    <w:p w:rsidR="008D534E" w:rsidRPr="00EE0E24" w:rsidRDefault="008D534E" w:rsidP="00D50E9D">
      <w:pPr>
        <w:jc w:val="both"/>
        <w:rPr>
          <w:color w:val="000000" w:themeColor="text1"/>
        </w:rPr>
      </w:pPr>
    </w:p>
    <w:p w:rsidR="00DF0DF2" w:rsidRDefault="00FC5885" w:rsidP="00793B6B">
      <w:pPr>
        <w:ind w:left="720" w:hanging="720"/>
        <w:jc w:val="both"/>
        <w:rPr>
          <w:color w:val="000000" w:themeColor="text1"/>
        </w:rPr>
      </w:pPr>
      <w:r>
        <w:rPr>
          <w:color w:val="000000" w:themeColor="text1"/>
        </w:rPr>
        <w:t>2.1</w:t>
      </w:r>
      <w:r>
        <w:rPr>
          <w:color w:val="000000" w:themeColor="text1"/>
        </w:rPr>
        <w:tab/>
        <w:t>Th</w:t>
      </w:r>
      <w:r w:rsidR="00130E72">
        <w:rPr>
          <w:color w:val="000000" w:themeColor="text1"/>
        </w:rPr>
        <w:t>is</w:t>
      </w:r>
      <w:r>
        <w:rPr>
          <w:color w:val="000000" w:themeColor="text1"/>
        </w:rPr>
        <w:t xml:space="preserve"> reason </w:t>
      </w:r>
      <w:r w:rsidR="003B422E">
        <w:rPr>
          <w:color w:val="000000" w:themeColor="text1"/>
        </w:rPr>
        <w:t>for refusal is assessed in the statement prepared by Archanaeum (Appendix 2)</w:t>
      </w:r>
      <w:r w:rsidR="00793B6B">
        <w:rPr>
          <w:color w:val="000000" w:themeColor="text1"/>
        </w:rPr>
        <w:t>.</w:t>
      </w:r>
    </w:p>
    <w:p w:rsidR="00665BFA" w:rsidRDefault="00665BFA" w:rsidP="00DF0DF2">
      <w:pPr>
        <w:ind w:left="720" w:hanging="720"/>
        <w:jc w:val="both"/>
        <w:rPr>
          <w:rFonts w:cs="Times New Roman"/>
          <w:i/>
        </w:rPr>
      </w:pPr>
    </w:p>
    <w:p w:rsidR="00DF0DF2" w:rsidRDefault="00DF0DF2" w:rsidP="00DF0DF2">
      <w:pPr>
        <w:ind w:left="720" w:hanging="720"/>
        <w:jc w:val="both"/>
        <w:rPr>
          <w:rFonts w:cs="Times New Roman"/>
          <w:b/>
        </w:rPr>
      </w:pPr>
      <w:r>
        <w:rPr>
          <w:rFonts w:cs="Times New Roman"/>
          <w:b/>
        </w:rPr>
        <w:t>2</w:t>
      </w:r>
      <w:r w:rsidRPr="00DF0DF2">
        <w:rPr>
          <w:rFonts w:cs="Times New Roman"/>
          <w:b/>
          <w:vertAlign w:val="superscript"/>
        </w:rPr>
        <w:t>nd</w:t>
      </w:r>
      <w:r>
        <w:rPr>
          <w:rFonts w:cs="Times New Roman"/>
          <w:b/>
        </w:rPr>
        <w:t xml:space="preserve"> Reason</w:t>
      </w:r>
    </w:p>
    <w:p w:rsidR="00DF0DF2" w:rsidRDefault="00DF0DF2" w:rsidP="00DF0DF2">
      <w:pPr>
        <w:ind w:left="720" w:hanging="720"/>
        <w:jc w:val="both"/>
        <w:rPr>
          <w:rFonts w:cs="Times New Roman"/>
          <w:b/>
        </w:rPr>
      </w:pPr>
    </w:p>
    <w:p w:rsidR="00DF0DF2" w:rsidRDefault="00E14A76" w:rsidP="00DF0DF2">
      <w:pPr>
        <w:ind w:left="720" w:hanging="720"/>
        <w:jc w:val="both"/>
        <w:rPr>
          <w:rFonts w:cs="Times New Roman"/>
        </w:rPr>
      </w:pPr>
      <w:r>
        <w:rPr>
          <w:rFonts w:cs="Times New Roman"/>
        </w:rPr>
        <w:t>2.2</w:t>
      </w:r>
      <w:r w:rsidR="00DF0DF2">
        <w:rPr>
          <w:rFonts w:cs="Times New Roman"/>
        </w:rPr>
        <w:tab/>
        <w:t xml:space="preserve">This reason has been addressed by TTP Consulting </w:t>
      </w:r>
      <w:r w:rsidR="003C174D">
        <w:rPr>
          <w:rFonts w:cs="Times New Roman"/>
        </w:rPr>
        <w:t xml:space="preserve">(Appendix </w:t>
      </w:r>
      <w:r w:rsidR="002F62CB">
        <w:rPr>
          <w:rFonts w:cs="Times New Roman"/>
        </w:rPr>
        <w:t>3</w:t>
      </w:r>
      <w:r w:rsidR="003C174D">
        <w:rPr>
          <w:rFonts w:cs="Times New Roman"/>
        </w:rPr>
        <w:t xml:space="preserve">) </w:t>
      </w:r>
      <w:r w:rsidR="00DF0DF2">
        <w:rPr>
          <w:rFonts w:cs="Times New Roman"/>
        </w:rPr>
        <w:t>which concludes:</w:t>
      </w:r>
    </w:p>
    <w:p w:rsidR="00DF0DF2" w:rsidRDefault="00DF0DF2" w:rsidP="00DF0DF2">
      <w:pPr>
        <w:ind w:left="720" w:hanging="720"/>
        <w:jc w:val="both"/>
        <w:rPr>
          <w:rFonts w:cs="Times New Roman"/>
        </w:rPr>
      </w:pPr>
    </w:p>
    <w:p w:rsidR="00DF0DF2" w:rsidRPr="00DF0DF2" w:rsidRDefault="00DF0DF2" w:rsidP="00DF0DF2">
      <w:pPr>
        <w:autoSpaceDE w:val="0"/>
        <w:autoSpaceDN w:val="0"/>
        <w:adjustRightInd w:val="0"/>
        <w:ind w:left="1440"/>
        <w:jc w:val="both"/>
        <w:rPr>
          <w:rFonts w:cs="Times New Roman"/>
          <w:i/>
        </w:rPr>
      </w:pPr>
      <w:r w:rsidRPr="00DF0DF2">
        <w:rPr>
          <w:rFonts w:cs="Times New Roman"/>
          <w:i/>
        </w:rPr>
        <w:t>1.15 TTP Consulting has been appointed to provide traffic and transportation advice associated with</w:t>
      </w:r>
      <w:r>
        <w:rPr>
          <w:rFonts w:cs="Times New Roman"/>
          <w:i/>
        </w:rPr>
        <w:t xml:space="preserve"> </w:t>
      </w:r>
      <w:r w:rsidRPr="00DF0DF2">
        <w:rPr>
          <w:rFonts w:cs="Times New Roman"/>
          <w:i/>
        </w:rPr>
        <w:t>the proposed development of land adjacent to 68 and 70 Violet Avenue, in the London Borough</w:t>
      </w:r>
      <w:r>
        <w:rPr>
          <w:rFonts w:cs="Times New Roman"/>
          <w:i/>
        </w:rPr>
        <w:t xml:space="preserve"> </w:t>
      </w:r>
      <w:r w:rsidRPr="00DF0DF2">
        <w:rPr>
          <w:rFonts w:cs="Times New Roman"/>
          <w:i/>
        </w:rPr>
        <w:t>of Hillingdon.</w:t>
      </w:r>
    </w:p>
    <w:p w:rsidR="00DF0DF2" w:rsidRDefault="00DF0DF2" w:rsidP="00DF0DF2">
      <w:pPr>
        <w:autoSpaceDE w:val="0"/>
        <w:autoSpaceDN w:val="0"/>
        <w:adjustRightInd w:val="0"/>
        <w:jc w:val="both"/>
        <w:rPr>
          <w:rFonts w:cs="Times New Roman"/>
          <w:i/>
        </w:rPr>
      </w:pPr>
    </w:p>
    <w:p w:rsidR="00DF0DF2" w:rsidRPr="00DF0DF2" w:rsidRDefault="00DF0DF2" w:rsidP="00DF0DF2">
      <w:pPr>
        <w:autoSpaceDE w:val="0"/>
        <w:autoSpaceDN w:val="0"/>
        <w:adjustRightInd w:val="0"/>
        <w:ind w:left="1440"/>
        <w:jc w:val="both"/>
        <w:rPr>
          <w:rFonts w:cs="Times New Roman"/>
          <w:i/>
        </w:rPr>
      </w:pPr>
      <w:r w:rsidRPr="00DF0DF2">
        <w:rPr>
          <w:rFonts w:cs="Times New Roman"/>
          <w:i/>
        </w:rPr>
        <w:t>1.16 In summary, it is considered that the development proposals would not result in demand for on</w:t>
      </w:r>
      <w:r>
        <w:rPr>
          <w:rFonts w:cs="Times New Roman"/>
          <w:i/>
        </w:rPr>
        <w:t xml:space="preserve"> </w:t>
      </w:r>
      <w:r w:rsidRPr="00DF0DF2">
        <w:rPr>
          <w:rFonts w:cs="Times New Roman"/>
          <w:i/>
        </w:rPr>
        <w:t>street parking exceeding the 85% parking occupancy level above which the Council considers</w:t>
      </w:r>
      <w:r>
        <w:rPr>
          <w:rFonts w:cs="Times New Roman"/>
          <w:i/>
        </w:rPr>
        <w:t xml:space="preserve"> </w:t>
      </w:r>
      <w:r w:rsidRPr="00DF0DF2">
        <w:rPr>
          <w:rFonts w:cs="Times New Roman"/>
          <w:i/>
        </w:rPr>
        <w:t>that further development that adds to on street parking demand is unacceptable.</w:t>
      </w:r>
    </w:p>
    <w:p w:rsidR="00DF0DF2" w:rsidRDefault="00DF0DF2" w:rsidP="00DF0DF2">
      <w:pPr>
        <w:autoSpaceDE w:val="0"/>
        <w:autoSpaceDN w:val="0"/>
        <w:adjustRightInd w:val="0"/>
        <w:jc w:val="both"/>
        <w:rPr>
          <w:rFonts w:cs="Times New Roman"/>
          <w:i/>
        </w:rPr>
      </w:pPr>
    </w:p>
    <w:p w:rsidR="00DF0DF2" w:rsidRPr="00DF0DF2" w:rsidRDefault="00DF0DF2" w:rsidP="00DF0DF2">
      <w:pPr>
        <w:autoSpaceDE w:val="0"/>
        <w:autoSpaceDN w:val="0"/>
        <w:adjustRightInd w:val="0"/>
        <w:ind w:left="1440"/>
        <w:jc w:val="both"/>
        <w:rPr>
          <w:rFonts w:cs="Times New Roman"/>
          <w:i/>
        </w:rPr>
      </w:pPr>
      <w:r w:rsidRPr="00DF0DF2">
        <w:rPr>
          <w:rFonts w:cs="Times New Roman"/>
          <w:i/>
        </w:rPr>
        <w:t>1.17 It is therefore considered that there is no highway or transport reason that the development</w:t>
      </w:r>
      <w:r>
        <w:rPr>
          <w:rFonts w:cs="Times New Roman"/>
          <w:i/>
        </w:rPr>
        <w:t xml:space="preserve"> </w:t>
      </w:r>
      <w:r w:rsidRPr="00DF0DF2">
        <w:rPr>
          <w:rFonts w:cs="Times New Roman"/>
          <w:i/>
        </w:rPr>
        <w:t>proposals should not be granted planning approval.</w:t>
      </w:r>
    </w:p>
    <w:p w:rsidR="008D15F4" w:rsidRDefault="008D15F4" w:rsidP="00D50E9D">
      <w:pPr>
        <w:jc w:val="both"/>
        <w:rPr>
          <w:b/>
          <w:color w:val="000000" w:themeColor="text1"/>
        </w:rPr>
      </w:pPr>
    </w:p>
    <w:p w:rsidR="008F56F6" w:rsidRDefault="00E14A76" w:rsidP="00D50E9D">
      <w:pPr>
        <w:jc w:val="both"/>
        <w:rPr>
          <w:b/>
          <w:color w:val="000000" w:themeColor="text1"/>
        </w:rPr>
      </w:pPr>
      <w:r>
        <w:rPr>
          <w:b/>
          <w:color w:val="000000" w:themeColor="text1"/>
        </w:rPr>
        <w:t>3</w:t>
      </w:r>
      <w:r w:rsidRPr="00E14A76">
        <w:rPr>
          <w:b/>
          <w:color w:val="000000" w:themeColor="text1"/>
          <w:vertAlign w:val="superscript"/>
        </w:rPr>
        <w:t>rd</w:t>
      </w:r>
      <w:r>
        <w:rPr>
          <w:b/>
          <w:color w:val="000000" w:themeColor="text1"/>
        </w:rPr>
        <w:t xml:space="preserve"> Reason</w:t>
      </w:r>
    </w:p>
    <w:p w:rsidR="00E14A76" w:rsidRDefault="00E14A76" w:rsidP="00D50E9D">
      <w:pPr>
        <w:jc w:val="both"/>
        <w:rPr>
          <w:b/>
          <w:color w:val="000000" w:themeColor="text1"/>
        </w:rPr>
      </w:pPr>
    </w:p>
    <w:p w:rsidR="003B422E" w:rsidRDefault="00E14A76" w:rsidP="003B422E">
      <w:pPr>
        <w:ind w:left="720" w:hanging="720"/>
        <w:jc w:val="both"/>
        <w:rPr>
          <w:color w:val="000000" w:themeColor="text1"/>
        </w:rPr>
      </w:pPr>
      <w:r>
        <w:rPr>
          <w:color w:val="000000" w:themeColor="text1"/>
        </w:rPr>
        <w:t>2.3</w:t>
      </w:r>
      <w:r>
        <w:rPr>
          <w:color w:val="000000" w:themeColor="text1"/>
        </w:rPr>
        <w:tab/>
      </w:r>
      <w:r w:rsidR="00793B6B">
        <w:rPr>
          <w:color w:val="000000" w:themeColor="text1"/>
        </w:rPr>
        <w:t xml:space="preserve">Much of this </w:t>
      </w:r>
      <w:r w:rsidR="003B422E">
        <w:rPr>
          <w:color w:val="000000" w:themeColor="text1"/>
        </w:rPr>
        <w:t>reason for refusal is assessed in the statement prepared by Archanaeum</w:t>
      </w:r>
      <w:r w:rsidR="00793B6B">
        <w:rPr>
          <w:color w:val="000000" w:themeColor="text1"/>
        </w:rPr>
        <w:t xml:space="preserve"> (Appendix 2).</w:t>
      </w:r>
    </w:p>
    <w:p w:rsidR="003B422E" w:rsidRDefault="003B422E" w:rsidP="003B422E">
      <w:pPr>
        <w:jc w:val="both"/>
        <w:rPr>
          <w:color w:val="000000" w:themeColor="text1"/>
        </w:rPr>
      </w:pPr>
    </w:p>
    <w:p w:rsidR="00E14A76" w:rsidRDefault="003B422E" w:rsidP="003B422E">
      <w:pPr>
        <w:ind w:left="720" w:hanging="720"/>
        <w:jc w:val="both"/>
        <w:rPr>
          <w:color w:val="000000" w:themeColor="text1"/>
        </w:rPr>
      </w:pPr>
      <w:r>
        <w:rPr>
          <w:color w:val="000000" w:themeColor="text1"/>
        </w:rPr>
        <w:t>2.4</w:t>
      </w:r>
      <w:r>
        <w:rPr>
          <w:color w:val="000000" w:themeColor="text1"/>
        </w:rPr>
        <w:tab/>
      </w:r>
      <w:r w:rsidR="00CA0A62">
        <w:rPr>
          <w:color w:val="000000" w:themeColor="text1"/>
        </w:rPr>
        <w:t xml:space="preserve">In relation to the loss of light, CHP Surveyors have carried out an assessment (Appendix </w:t>
      </w:r>
      <w:r w:rsidR="002F62CB">
        <w:rPr>
          <w:color w:val="000000" w:themeColor="text1"/>
        </w:rPr>
        <w:t>4</w:t>
      </w:r>
      <w:r w:rsidR="00CA0A62">
        <w:rPr>
          <w:color w:val="000000" w:themeColor="text1"/>
        </w:rPr>
        <w:t>) which concludes:</w:t>
      </w:r>
    </w:p>
    <w:p w:rsidR="00CA0A62" w:rsidRDefault="00CA0A62" w:rsidP="00D50E9D">
      <w:pPr>
        <w:jc w:val="both"/>
        <w:rPr>
          <w:color w:val="000000" w:themeColor="text1"/>
        </w:rPr>
      </w:pPr>
    </w:p>
    <w:p w:rsidR="00CA0A62" w:rsidRPr="00CA0A62" w:rsidRDefault="00CA0A62" w:rsidP="00CA0A62">
      <w:pPr>
        <w:autoSpaceDE w:val="0"/>
        <w:autoSpaceDN w:val="0"/>
        <w:adjustRightInd w:val="0"/>
        <w:ind w:left="1440"/>
        <w:jc w:val="both"/>
        <w:rPr>
          <w:rFonts w:cs="Times New Roman"/>
          <w:i/>
        </w:rPr>
      </w:pPr>
      <w:r w:rsidRPr="00CA0A62">
        <w:rPr>
          <w:rFonts w:cs="Times New Roman"/>
          <w:i/>
        </w:rPr>
        <w:t>We have considered the implications the proposals will have on the daylight enjoyed by; 68/70,</w:t>
      </w:r>
      <w:r>
        <w:rPr>
          <w:rFonts w:cs="Times New Roman"/>
          <w:i/>
        </w:rPr>
        <w:t xml:space="preserve"> </w:t>
      </w:r>
      <w:r w:rsidRPr="00CA0A62">
        <w:rPr>
          <w:rFonts w:cs="Times New Roman"/>
          <w:i/>
        </w:rPr>
        <w:t>91 and 93 Violet Avenue.</w:t>
      </w:r>
    </w:p>
    <w:p w:rsidR="00CA0A62" w:rsidRDefault="00CA0A62" w:rsidP="00CA0A62">
      <w:pPr>
        <w:autoSpaceDE w:val="0"/>
        <w:autoSpaceDN w:val="0"/>
        <w:adjustRightInd w:val="0"/>
        <w:jc w:val="both"/>
        <w:rPr>
          <w:rFonts w:cs="Times New Roman"/>
          <w:i/>
        </w:rPr>
      </w:pPr>
    </w:p>
    <w:p w:rsidR="00CA0A62" w:rsidRPr="00CA0A62" w:rsidRDefault="00CA0A62" w:rsidP="00CA0A62">
      <w:pPr>
        <w:autoSpaceDE w:val="0"/>
        <w:autoSpaceDN w:val="0"/>
        <w:adjustRightInd w:val="0"/>
        <w:ind w:left="1440"/>
        <w:jc w:val="both"/>
        <w:rPr>
          <w:rFonts w:cs="Times New Roman"/>
          <w:i/>
        </w:rPr>
      </w:pPr>
      <w:r w:rsidRPr="00CA0A62">
        <w:rPr>
          <w:rFonts w:cs="Times New Roman"/>
          <w:i/>
        </w:rPr>
        <w:t>The results of the daylight and sunlight analysis demonstrate that the proposals will not have</w:t>
      </w:r>
      <w:r>
        <w:rPr>
          <w:rFonts w:cs="Times New Roman"/>
          <w:i/>
        </w:rPr>
        <w:t xml:space="preserve"> </w:t>
      </w:r>
      <w:r w:rsidRPr="00CA0A62">
        <w:rPr>
          <w:rFonts w:cs="Times New Roman"/>
          <w:i/>
        </w:rPr>
        <w:t>a</w:t>
      </w:r>
      <w:r>
        <w:rPr>
          <w:rFonts w:cs="Times New Roman"/>
          <w:i/>
        </w:rPr>
        <w:t xml:space="preserve"> </w:t>
      </w:r>
      <w:r w:rsidRPr="00CA0A62">
        <w:rPr>
          <w:rFonts w:cs="Times New Roman"/>
          <w:i/>
        </w:rPr>
        <w:t>significant impact on the daylight enjoyed by the neighbouring properties.</w:t>
      </w:r>
    </w:p>
    <w:p w:rsidR="00CA0A62" w:rsidRDefault="00CA0A62" w:rsidP="00CA0A62">
      <w:pPr>
        <w:autoSpaceDE w:val="0"/>
        <w:autoSpaceDN w:val="0"/>
        <w:adjustRightInd w:val="0"/>
        <w:jc w:val="both"/>
        <w:rPr>
          <w:rFonts w:cs="Times New Roman"/>
          <w:i/>
        </w:rPr>
      </w:pPr>
    </w:p>
    <w:p w:rsidR="00CA0A62" w:rsidRPr="00CA0A62" w:rsidRDefault="00CA0A62" w:rsidP="00CA0A62">
      <w:pPr>
        <w:autoSpaceDE w:val="0"/>
        <w:autoSpaceDN w:val="0"/>
        <w:adjustRightInd w:val="0"/>
        <w:ind w:left="1440"/>
        <w:jc w:val="both"/>
        <w:rPr>
          <w:rFonts w:cs="Times New Roman"/>
          <w:i/>
        </w:rPr>
      </w:pPr>
      <w:r w:rsidRPr="00CA0A62">
        <w:rPr>
          <w:rFonts w:cs="Times New Roman"/>
          <w:i/>
        </w:rPr>
        <w:t>The analysis therefore demonstrates that the aims of the Building Research Establishments</w:t>
      </w:r>
      <w:r>
        <w:rPr>
          <w:rFonts w:cs="Times New Roman"/>
          <w:i/>
        </w:rPr>
        <w:t xml:space="preserve"> </w:t>
      </w:r>
      <w:r w:rsidRPr="00CA0A62">
        <w:rPr>
          <w:rFonts w:cs="_W_Õ˛"/>
          <w:i/>
        </w:rPr>
        <w:t>publication “</w:t>
      </w:r>
      <w:r w:rsidRPr="00CA0A62">
        <w:rPr>
          <w:rFonts w:cs="Times New Roman"/>
          <w:i/>
        </w:rPr>
        <w:t xml:space="preserve">Site Layout Planning for Daylight and Sunlight </w:t>
      </w:r>
      <w:r w:rsidRPr="00CA0A62">
        <w:rPr>
          <w:rFonts w:cs="_W_Õ˛"/>
          <w:i/>
        </w:rPr>
        <w:t xml:space="preserve">– </w:t>
      </w:r>
      <w:r w:rsidRPr="00CA0A62">
        <w:rPr>
          <w:rFonts w:cs="Times New Roman"/>
          <w:i/>
        </w:rPr>
        <w:t>A Guide to Good Practice</w:t>
      </w:r>
      <w:r w:rsidRPr="00CA0A62">
        <w:rPr>
          <w:rFonts w:cs="_W_Õ˛"/>
          <w:i/>
        </w:rPr>
        <w:t>” (</w:t>
      </w:r>
      <w:r>
        <w:rPr>
          <w:rFonts w:cs="Times New Roman"/>
          <w:i/>
        </w:rPr>
        <w:t xml:space="preserve"> </w:t>
      </w:r>
      <w:r w:rsidRPr="00CA0A62">
        <w:rPr>
          <w:rFonts w:cs="Times New Roman"/>
          <w:i/>
        </w:rPr>
        <w:t>2011)</w:t>
      </w:r>
      <w:r>
        <w:rPr>
          <w:rFonts w:cs="Times New Roman"/>
          <w:i/>
        </w:rPr>
        <w:t xml:space="preserve"> </w:t>
      </w:r>
      <w:r w:rsidRPr="00CA0A62">
        <w:rPr>
          <w:rFonts w:cs="Times New Roman"/>
          <w:i/>
        </w:rPr>
        <w:t>are achieved.</w:t>
      </w:r>
    </w:p>
    <w:p w:rsidR="00E14A76" w:rsidRDefault="00E14A76" w:rsidP="00D50E9D">
      <w:pPr>
        <w:jc w:val="both"/>
        <w:rPr>
          <w:b/>
          <w:color w:val="000000" w:themeColor="text1"/>
        </w:rPr>
      </w:pPr>
    </w:p>
    <w:p w:rsidR="00E14A76" w:rsidRDefault="00E14A76" w:rsidP="00D50E9D">
      <w:pPr>
        <w:jc w:val="both"/>
        <w:rPr>
          <w:b/>
          <w:color w:val="000000" w:themeColor="text1"/>
        </w:rPr>
      </w:pPr>
      <w:r>
        <w:rPr>
          <w:b/>
          <w:color w:val="000000" w:themeColor="text1"/>
        </w:rPr>
        <w:t>4</w:t>
      </w:r>
      <w:r w:rsidRPr="00E14A76">
        <w:rPr>
          <w:b/>
          <w:color w:val="000000" w:themeColor="text1"/>
          <w:vertAlign w:val="superscript"/>
        </w:rPr>
        <w:t>th</w:t>
      </w:r>
      <w:r>
        <w:rPr>
          <w:b/>
          <w:color w:val="000000" w:themeColor="text1"/>
        </w:rPr>
        <w:t xml:space="preserve"> Reason</w:t>
      </w:r>
    </w:p>
    <w:p w:rsidR="00E14A76" w:rsidRDefault="00E14A76" w:rsidP="00D50E9D">
      <w:pPr>
        <w:jc w:val="both"/>
        <w:rPr>
          <w:b/>
          <w:color w:val="000000" w:themeColor="text1"/>
        </w:rPr>
      </w:pPr>
    </w:p>
    <w:p w:rsidR="00E14A76" w:rsidRDefault="00E14A76" w:rsidP="009378EC">
      <w:pPr>
        <w:ind w:left="720" w:hanging="720"/>
        <w:jc w:val="both"/>
        <w:rPr>
          <w:color w:val="000000" w:themeColor="text1"/>
        </w:rPr>
      </w:pPr>
      <w:r>
        <w:rPr>
          <w:color w:val="000000" w:themeColor="text1"/>
        </w:rPr>
        <w:t>2.</w:t>
      </w:r>
      <w:r w:rsidR="00793B6B">
        <w:rPr>
          <w:color w:val="000000" w:themeColor="text1"/>
        </w:rPr>
        <w:t>5</w:t>
      </w:r>
      <w:r>
        <w:rPr>
          <w:color w:val="000000" w:themeColor="text1"/>
        </w:rPr>
        <w:tab/>
        <w:t>Th</w:t>
      </w:r>
      <w:r w:rsidR="009378EC">
        <w:rPr>
          <w:color w:val="000000" w:themeColor="text1"/>
        </w:rPr>
        <w:t>is</w:t>
      </w:r>
      <w:r>
        <w:rPr>
          <w:color w:val="000000" w:themeColor="text1"/>
        </w:rPr>
        <w:t xml:space="preserve"> reason</w:t>
      </w:r>
      <w:r w:rsidR="009378EC">
        <w:rPr>
          <w:color w:val="000000" w:themeColor="text1"/>
        </w:rPr>
        <w:t xml:space="preserve"> for refusal refers to, inter alia the loss of trees. In this respect, Landmark Trees has been instructed to assess this matter. Their Arboricultural Impact Assessment is contained in Appendix</w:t>
      </w:r>
      <w:r w:rsidR="003C174D">
        <w:rPr>
          <w:color w:val="000000" w:themeColor="text1"/>
        </w:rPr>
        <w:t xml:space="preserve"> </w:t>
      </w:r>
      <w:r w:rsidR="002F62CB">
        <w:rPr>
          <w:color w:val="000000" w:themeColor="text1"/>
        </w:rPr>
        <w:t>5</w:t>
      </w:r>
      <w:r w:rsidR="009378EC">
        <w:rPr>
          <w:color w:val="000000" w:themeColor="text1"/>
        </w:rPr>
        <w:t xml:space="preserve">).  They have assessed 2 trees on site (Gum tree in the front garden and an apple tree in the rear garden) and 1 adjoining the site (maple tree on the street). It should be noted that the on-site </w:t>
      </w:r>
      <w:r w:rsidR="009378EC">
        <w:rPr>
          <w:color w:val="000000" w:themeColor="text1"/>
        </w:rPr>
        <w:lastRenderedPageBreak/>
        <w:t>trees are not subject to a TPO and nor are they in a conservation area so they could be removed without the need for any permission.</w:t>
      </w:r>
    </w:p>
    <w:p w:rsidR="009378EC" w:rsidRDefault="009378EC" w:rsidP="009378EC">
      <w:pPr>
        <w:ind w:left="720" w:hanging="720"/>
        <w:jc w:val="both"/>
        <w:rPr>
          <w:color w:val="000000" w:themeColor="text1"/>
        </w:rPr>
      </w:pPr>
    </w:p>
    <w:p w:rsidR="009378EC" w:rsidRDefault="009378EC" w:rsidP="009378EC">
      <w:pPr>
        <w:ind w:left="720" w:hanging="720"/>
        <w:jc w:val="both"/>
        <w:rPr>
          <w:color w:val="000000" w:themeColor="text1"/>
        </w:rPr>
      </w:pPr>
      <w:r>
        <w:rPr>
          <w:color w:val="000000" w:themeColor="text1"/>
        </w:rPr>
        <w:t>2.</w:t>
      </w:r>
      <w:r w:rsidR="00793B6B">
        <w:rPr>
          <w:color w:val="000000" w:themeColor="text1"/>
        </w:rPr>
        <w:t>6</w:t>
      </w:r>
      <w:r>
        <w:rPr>
          <w:color w:val="000000" w:themeColor="text1"/>
        </w:rPr>
        <w:tab/>
        <w:t>The Assessment concludes:</w:t>
      </w:r>
    </w:p>
    <w:p w:rsidR="009378EC" w:rsidRDefault="009378EC" w:rsidP="009378EC">
      <w:pPr>
        <w:ind w:left="720" w:hanging="720"/>
        <w:jc w:val="both"/>
        <w:rPr>
          <w:color w:val="000000" w:themeColor="text1"/>
        </w:rPr>
      </w:pPr>
    </w:p>
    <w:p w:rsidR="009378EC" w:rsidRPr="009378EC" w:rsidRDefault="009378EC" w:rsidP="009378EC">
      <w:pPr>
        <w:autoSpaceDE w:val="0"/>
        <w:autoSpaceDN w:val="0"/>
        <w:adjustRightInd w:val="0"/>
        <w:ind w:left="1440"/>
        <w:jc w:val="both"/>
        <w:rPr>
          <w:rFonts w:cs="Times New Roman"/>
          <w:i/>
        </w:rPr>
      </w:pPr>
      <w:r w:rsidRPr="009378EC">
        <w:rPr>
          <w:rFonts w:cs="Times New Roman"/>
          <w:i/>
        </w:rPr>
        <w:t>I have demonstrated that the trees to be removed are of low quality and thus, the potential</w:t>
      </w:r>
      <w:r>
        <w:rPr>
          <w:rFonts w:cs="Times New Roman"/>
          <w:i/>
        </w:rPr>
        <w:t xml:space="preserve"> </w:t>
      </w:r>
      <w:r w:rsidRPr="009378EC">
        <w:rPr>
          <w:rFonts w:cs="Times New Roman"/>
          <w:i/>
        </w:rPr>
        <w:t>impacts of development are all relatively minor in terms of tree loss. There are no RPA</w:t>
      </w:r>
      <w:r>
        <w:rPr>
          <w:rFonts w:cs="Times New Roman"/>
          <w:i/>
        </w:rPr>
        <w:t xml:space="preserve"> </w:t>
      </w:r>
      <w:r w:rsidRPr="009378EC">
        <w:rPr>
          <w:rFonts w:cs="Times New Roman"/>
          <w:i/>
        </w:rPr>
        <w:t>encroachments of trees retained.</w:t>
      </w:r>
    </w:p>
    <w:p w:rsidR="009378EC" w:rsidRDefault="009378EC" w:rsidP="009378EC">
      <w:pPr>
        <w:autoSpaceDE w:val="0"/>
        <w:autoSpaceDN w:val="0"/>
        <w:adjustRightInd w:val="0"/>
        <w:jc w:val="both"/>
        <w:rPr>
          <w:rFonts w:cs="Times New Roman"/>
          <w:i/>
        </w:rPr>
      </w:pPr>
    </w:p>
    <w:p w:rsidR="009378EC" w:rsidRPr="009378EC" w:rsidRDefault="009378EC" w:rsidP="009378EC">
      <w:pPr>
        <w:autoSpaceDE w:val="0"/>
        <w:autoSpaceDN w:val="0"/>
        <w:adjustRightInd w:val="0"/>
        <w:ind w:left="1440"/>
        <w:jc w:val="both"/>
        <w:rPr>
          <w:rFonts w:cs="Times New Roman"/>
          <w:i/>
        </w:rPr>
      </w:pPr>
      <w:r w:rsidRPr="009378EC">
        <w:rPr>
          <w:rFonts w:cs="Times New Roman"/>
          <w:i/>
        </w:rPr>
        <w:t>Any potential impact to T2 from wider construction activities can be largely mitigated</w:t>
      </w:r>
      <w:r>
        <w:rPr>
          <w:rFonts w:cs="Times New Roman"/>
          <w:i/>
        </w:rPr>
        <w:t xml:space="preserve"> </w:t>
      </w:r>
      <w:r w:rsidRPr="009378EC">
        <w:rPr>
          <w:rFonts w:cs="Times New Roman"/>
          <w:i/>
        </w:rPr>
        <w:t>through</w:t>
      </w:r>
      <w:r>
        <w:rPr>
          <w:rFonts w:cs="Times New Roman"/>
          <w:i/>
        </w:rPr>
        <w:t xml:space="preserve"> </w:t>
      </w:r>
      <w:r w:rsidRPr="009378EC">
        <w:rPr>
          <w:rFonts w:cs="Times New Roman"/>
          <w:i/>
        </w:rPr>
        <w:t>design and precautionary measures. These measures can be elaborated in Method Statements</w:t>
      </w:r>
      <w:r>
        <w:rPr>
          <w:rFonts w:cs="Times New Roman"/>
          <w:i/>
        </w:rPr>
        <w:t xml:space="preserve"> </w:t>
      </w:r>
      <w:r w:rsidRPr="009378EC">
        <w:rPr>
          <w:rFonts w:cs="Times New Roman"/>
          <w:i/>
        </w:rPr>
        <w:t>in the discharge of planning conditions.</w:t>
      </w:r>
    </w:p>
    <w:p w:rsidR="009378EC" w:rsidRDefault="009378EC" w:rsidP="009378EC">
      <w:pPr>
        <w:autoSpaceDE w:val="0"/>
        <w:autoSpaceDN w:val="0"/>
        <w:adjustRightInd w:val="0"/>
        <w:jc w:val="both"/>
        <w:rPr>
          <w:rFonts w:cs="Times New Roman"/>
          <w:i/>
        </w:rPr>
      </w:pPr>
    </w:p>
    <w:p w:rsidR="009378EC" w:rsidRPr="009378EC" w:rsidRDefault="009378EC" w:rsidP="009378EC">
      <w:pPr>
        <w:autoSpaceDE w:val="0"/>
        <w:autoSpaceDN w:val="0"/>
        <w:adjustRightInd w:val="0"/>
        <w:ind w:left="1440"/>
        <w:jc w:val="both"/>
        <w:rPr>
          <w:rFonts w:cs="Times New Roman"/>
          <w:i/>
        </w:rPr>
      </w:pPr>
      <w:r w:rsidRPr="009378EC">
        <w:rPr>
          <w:rFonts w:cs="Times New Roman"/>
          <w:i/>
        </w:rPr>
        <w:t>The trees that are recommended for felling are of little individual significance, such that their</w:t>
      </w:r>
      <w:r>
        <w:rPr>
          <w:rFonts w:cs="Times New Roman"/>
          <w:i/>
        </w:rPr>
        <w:t xml:space="preserve"> </w:t>
      </w:r>
      <w:r w:rsidRPr="009378EC">
        <w:rPr>
          <w:rFonts w:cs="Times New Roman"/>
          <w:i/>
        </w:rPr>
        <w:t>loss will not affect the visual character of the area.</w:t>
      </w:r>
    </w:p>
    <w:p w:rsidR="009378EC" w:rsidRDefault="009378EC" w:rsidP="009378EC">
      <w:pPr>
        <w:autoSpaceDE w:val="0"/>
        <w:autoSpaceDN w:val="0"/>
        <w:adjustRightInd w:val="0"/>
        <w:jc w:val="both"/>
        <w:rPr>
          <w:rFonts w:cs="Times New Roman"/>
          <w:i/>
        </w:rPr>
      </w:pPr>
    </w:p>
    <w:p w:rsidR="009378EC" w:rsidRPr="009378EC" w:rsidRDefault="009378EC" w:rsidP="009378EC">
      <w:pPr>
        <w:autoSpaceDE w:val="0"/>
        <w:autoSpaceDN w:val="0"/>
        <w:adjustRightInd w:val="0"/>
        <w:ind w:left="1440"/>
        <w:jc w:val="both"/>
        <w:rPr>
          <w:rFonts w:cs="Times New Roman"/>
          <w:i/>
        </w:rPr>
      </w:pPr>
      <w:r w:rsidRPr="009378EC">
        <w:rPr>
          <w:rFonts w:cs="Times New Roman"/>
          <w:i/>
        </w:rPr>
        <w:t>Therefore, the proposals will not have any significant impact on either the retained trees or</w:t>
      </w:r>
      <w:r>
        <w:rPr>
          <w:rFonts w:cs="Times New Roman"/>
          <w:i/>
        </w:rPr>
        <w:t xml:space="preserve"> </w:t>
      </w:r>
      <w:r w:rsidRPr="009378EC">
        <w:rPr>
          <w:rFonts w:cs="Times New Roman"/>
          <w:i/>
        </w:rPr>
        <w:t>wider landscape thereby complying with Policy 7.21 of the London Plan 2016 and Policies</w:t>
      </w:r>
      <w:r>
        <w:rPr>
          <w:rFonts w:cs="Times New Roman"/>
          <w:i/>
        </w:rPr>
        <w:t xml:space="preserve"> </w:t>
      </w:r>
      <w:r w:rsidRPr="009378EC">
        <w:rPr>
          <w:rFonts w:cs="Times New Roman"/>
          <w:i/>
        </w:rPr>
        <w:t>EM4,</w:t>
      </w:r>
      <w:r>
        <w:rPr>
          <w:rFonts w:cs="Times New Roman"/>
          <w:i/>
        </w:rPr>
        <w:t xml:space="preserve"> </w:t>
      </w:r>
      <w:r w:rsidRPr="009378EC">
        <w:rPr>
          <w:rFonts w:cs="Times New Roman"/>
          <w:i/>
        </w:rPr>
        <w:t>EM5 and EM7 of LB Hillingdon’s Local Plan, adopted December 2012 and Saved Policies OL26</w:t>
      </w:r>
      <w:r>
        <w:rPr>
          <w:rFonts w:cs="Times New Roman"/>
          <w:i/>
        </w:rPr>
        <w:t xml:space="preserve"> </w:t>
      </w:r>
      <w:r w:rsidRPr="009378EC">
        <w:rPr>
          <w:rFonts w:cs="Times New Roman"/>
          <w:i/>
        </w:rPr>
        <w:t>and BE38 of their Unitary Development Plan (adopted September 2007). Thus, with suitable</w:t>
      </w:r>
      <w:r>
        <w:rPr>
          <w:rFonts w:cs="Times New Roman"/>
          <w:i/>
        </w:rPr>
        <w:t xml:space="preserve"> </w:t>
      </w:r>
      <w:r w:rsidRPr="009378EC">
        <w:rPr>
          <w:rFonts w:cs="Times New Roman"/>
          <w:i/>
        </w:rPr>
        <w:t>mitigation and supervision the scheme is recommended to planning.</w:t>
      </w:r>
    </w:p>
    <w:p w:rsidR="00A8406B" w:rsidRDefault="00A8406B" w:rsidP="00D50E9D">
      <w:pPr>
        <w:jc w:val="both"/>
        <w:rPr>
          <w:color w:val="000000" w:themeColor="text1"/>
        </w:rPr>
      </w:pPr>
    </w:p>
    <w:p w:rsidR="00A8406B" w:rsidRDefault="00A8406B" w:rsidP="00A8406B">
      <w:pPr>
        <w:autoSpaceDE w:val="0"/>
        <w:autoSpaceDN w:val="0"/>
        <w:adjustRightInd w:val="0"/>
        <w:ind w:left="720" w:hanging="720"/>
        <w:jc w:val="both"/>
        <w:rPr>
          <w:rFonts w:cs="Times New Roman"/>
          <w:i/>
        </w:rPr>
      </w:pPr>
      <w:r>
        <w:rPr>
          <w:rFonts w:cs="Times New Roman"/>
        </w:rPr>
        <w:t>2.</w:t>
      </w:r>
      <w:r w:rsidR="00793B6B">
        <w:rPr>
          <w:rFonts w:cs="Times New Roman"/>
        </w:rPr>
        <w:t>7</w:t>
      </w:r>
      <w:r>
        <w:rPr>
          <w:rFonts w:cs="Times New Roman"/>
        </w:rPr>
        <w:tab/>
      </w:r>
      <w:r w:rsidR="00253061">
        <w:rPr>
          <w:rFonts w:cs="Times New Roman"/>
        </w:rPr>
        <w:t xml:space="preserve">With regard to the landscape, </w:t>
      </w:r>
      <w:r>
        <w:rPr>
          <w:rFonts w:cs="Times New Roman"/>
        </w:rPr>
        <w:t xml:space="preserve"> proposals for the front garden have been revised  (see Appendi</w:t>
      </w:r>
      <w:r w:rsidR="00130E72">
        <w:rPr>
          <w:rFonts w:cs="Times New Roman"/>
        </w:rPr>
        <w:t>ces 2 and 6</w:t>
      </w:r>
      <w:r w:rsidRPr="00A8406B">
        <w:rPr>
          <w:rFonts w:cs="Times New Roman"/>
        </w:rPr>
        <w:t>)</w:t>
      </w:r>
      <w:r>
        <w:rPr>
          <w:rFonts w:cs="Times New Roman"/>
        </w:rPr>
        <w:t xml:space="preserve"> in order to ensure the bin and refuse storage areas are not</w:t>
      </w:r>
      <w:r w:rsidRPr="00342E02">
        <w:rPr>
          <w:rFonts w:cs="Times New Roman"/>
          <w:i/>
        </w:rPr>
        <w:t xml:space="preserve"> unduly prominent and intrusive form of development to the detriment of the visual amenity of the street scene and the surrounding area generally</w:t>
      </w:r>
      <w:r>
        <w:rPr>
          <w:rFonts w:cs="Times New Roman"/>
        </w:rPr>
        <w:t xml:space="preserve"> and there is more soft landscaping</w:t>
      </w:r>
      <w:r w:rsidRPr="00342E02">
        <w:rPr>
          <w:rFonts w:cs="Times New Roman"/>
          <w:i/>
        </w:rPr>
        <w:t>.</w:t>
      </w:r>
    </w:p>
    <w:p w:rsidR="001836FC" w:rsidRDefault="001836FC" w:rsidP="00A8406B">
      <w:pPr>
        <w:autoSpaceDE w:val="0"/>
        <w:autoSpaceDN w:val="0"/>
        <w:adjustRightInd w:val="0"/>
        <w:ind w:left="720" w:hanging="720"/>
        <w:jc w:val="both"/>
        <w:rPr>
          <w:rFonts w:cs="Times New Roman"/>
        </w:rPr>
      </w:pPr>
    </w:p>
    <w:p w:rsidR="001836FC" w:rsidRDefault="001836FC" w:rsidP="00A8406B">
      <w:pPr>
        <w:autoSpaceDE w:val="0"/>
        <w:autoSpaceDN w:val="0"/>
        <w:adjustRightInd w:val="0"/>
        <w:ind w:left="720" w:hanging="720"/>
        <w:jc w:val="both"/>
        <w:rPr>
          <w:rFonts w:cs="Times New Roman"/>
        </w:rPr>
      </w:pPr>
      <w:r>
        <w:rPr>
          <w:rFonts w:cs="Times New Roman"/>
        </w:rPr>
        <w:t>2.8</w:t>
      </w:r>
      <w:r>
        <w:rPr>
          <w:rFonts w:cs="Times New Roman"/>
        </w:rPr>
        <w:tab/>
        <w:t>The Committee report refers to the Council’s design guidance which seeks to retain at least 25% soft landscape in front gardens. In response, the existing situation does not meet the criteria as it is circa 18%. The landscape proposals contained in Appendi</w:t>
      </w:r>
      <w:r w:rsidR="00130E72">
        <w:rPr>
          <w:rFonts w:cs="Times New Roman"/>
        </w:rPr>
        <w:t>ces 2 and</w:t>
      </w:r>
      <w:r>
        <w:rPr>
          <w:rFonts w:cs="Times New Roman"/>
        </w:rPr>
        <w:t xml:space="preserve"> 6 include circa 32% soft landscaping.</w:t>
      </w:r>
    </w:p>
    <w:p w:rsidR="00130E72" w:rsidRDefault="00130E72" w:rsidP="00A8406B">
      <w:pPr>
        <w:autoSpaceDE w:val="0"/>
        <w:autoSpaceDN w:val="0"/>
        <w:adjustRightInd w:val="0"/>
        <w:ind w:left="720" w:hanging="720"/>
        <w:jc w:val="both"/>
        <w:rPr>
          <w:rFonts w:cs="Times New Roman"/>
        </w:rPr>
      </w:pPr>
    </w:p>
    <w:p w:rsidR="00130E72" w:rsidRPr="00130E72" w:rsidRDefault="00130E72" w:rsidP="00130E72">
      <w:pPr>
        <w:ind w:left="720" w:hanging="720"/>
        <w:jc w:val="both"/>
        <w:rPr>
          <w:rFonts w:ascii="Times New Roman" w:eastAsia="Times New Roman" w:hAnsi="Times New Roman" w:cs="Times New Roman"/>
          <w:lang w:val="en-GB"/>
        </w:rPr>
      </w:pPr>
      <w:r>
        <w:rPr>
          <w:rFonts w:cs="Times New Roman"/>
        </w:rPr>
        <w:t>2.9</w:t>
      </w:r>
      <w:r>
        <w:rPr>
          <w:rFonts w:cs="Times New Roman"/>
        </w:rPr>
        <w:tab/>
      </w:r>
      <w:r>
        <w:rPr>
          <w:rFonts w:eastAsia="Times New Roman" w:cs="Times New Roman"/>
          <w:color w:val="000000"/>
          <w:shd w:val="clear" w:color="auto" w:fill="FFFFFF"/>
          <w:lang w:val="en-GB"/>
        </w:rPr>
        <w:t>It should be noted t</w:t>
      </w:r>
      <w:r w:rsidRPr="00130E72">
        <w:rPr>
          <w:rFonts w:eastAsia="Times New Roman" w:cs="Times New Roman"/>
          <w:color w:val="000000"/>
          <w:shd w:val="clear" w:color="auto" w:fill="FFFFFF"/>
          <w:lang w:val="en-GB"/>
        </w:rPr>
        <w:t>he GIA of the 2 bed and 1 bed flat</w:t>
      </w:r>
      <w:r>
        <w:rPr>
          <w:rFonts w:eastAsia="Times New Roman" w:cs="Times New Roman"/>
          <w:color w:val="000000"/>
          <w:shd w:val="clear" w:color="auto" w:fill="FFFFFF"/>
          <w:lang w:val="en-GB"/>
        </w:rPr>
        <w:t xml:space="preserve"> as determined did not include</w:t>
      </w:r>
      <w:r w:rsidRPr="00130E72">
        <w:rPr>
          <w:rFonts w:eastAsia="Times New Roman" w:cs="Times New Roman"/>
          <w:color w:val="000000"/>
          <w:shd w:val="clear" w:color="auto" w:fill="FFFFFF"/>
          <w:lang w:val="en-GB"/>
        </w:rPr>
        <w:t xml:space="preserve"> the circulation lobby off the stair case</w:t>
      </w:r>
      <w:r>
        <w:rPr>
          <w:rFonts w:eastAsia="Times New Roman" w:cs="Times New Roman"/>
          <w:color w:val="000000"/>
          <w:shd w:val="clear" w:color="auto" w:fill="FFFFFF"/>
          <w:lang w:val="en-GB"/>
        </w:rPr>
        <w:t>. As such, the GIA has</w:t>
      </w:r>
      <w:r w:rsidRPr="00130E72">
        <w:rPr>
          <w:rFonts w:eastAsia="Times New Roman" w:cs="Times New Roman"/>
          <w:color w:val="000000"/>
          <w:shd w:val="clear" w:color="auto" w:fill="FFFFFF"/>
          <w:lang w:val="en-GB"/>
        </w:rPr>
        <w:t xml:space="preserve"> increased by 4sqm </w:t>
      </w:r>
      <w:r>
        <w:rPr>
          <w:rFonts w:eastAsia="Times New Roman" w:cs="Times New Roman"/>
          <w:color w:val="000000"/>
          <w:shd w:val="clear" w:color="auto" w:fill="FFFFFF"/>
          <w:lang w:val="en-GB"/>
        </w:rPr>
        <w:t xml:space="preserve">in </w:t>
      </w:r>
      <w:r w:rsidRPr="00130E72">
        <w:rPr>
          <w:rFonts w:eastAsia="Times New Roman" w:cs="Times New Roman"/>
          <w:color w:val="000000"/>
          <w:shd w:val="clear" w:color="auto" w:fill="FFFFFF"/>
          <w:lang w:val="en-GB"/>
        </w:rPr>
        <w:t>each</w:t>
      </w:r>
      <w:r>
        <w:rPr>
          <w:rFonts w:eastAsia="Times New Roman" w:cs="Times New Roman"/>
          <w:color w:val="000000"/>
          <w:shd w:val="clear" w:color="auto" w:fill="FFFFFF"/>
          <w:lang w:val="en-GB"/>
        </w:rPr>
        <w:t xml:space="preserve"> of these flats</w:t>
      </w:r>
      <w:r w:rsidRPr="00130E72">
        <w:rPr>
          <w:rFonts w:eastAsia="Times New Roman" w:cs="Times New Roman"/>
          <w:color w:val="000000"/>
          <w:shd w:val="clear" w:color="auto" w:fill="FFFFFF"/>
          <w:lang w:val="en-GB"/>
        </w:rPr>
        <w:t>.</w:t>
      </w:r>
    </w:p>
    <w:p w:rsidR="00A8406B" w:rsidRDefault="00A8406B" w:rsidP="00130E72">
      <w:pPr>
        <w:autoSpaceDE w:val="0"/>
        <w:autoSpaceDN w:val="0"/>
        <w:adjustRightInd w:val="0"/>
        <w:jc w:val="both"/>
        <w:rPr>
          <w:rFonts w:cs="Times New Roman"/>
        </w:rPr>
      </w:pPr>
    </w:p>
    <w:p w:rsidR="00A8406B" w:rsidRPr="00A8406B" w:rsidRDefault="00A8406B" w:rsidP="00A8406B">
      <w:pPr>
        <w:autoSpaceDE w:val="0"/>
        <w:autoSpaceDN w:val="0"/>
        <w:adjustRightInd w:val="0"/>
        <w:ind w:left="720" w:hanging="720"/>
        <w:jc w:val="both"/>
        <w:rPr>
          <w:rFonts w:cs="Times New Roman"/>
        </w:rPr>
      </w:pPr>
      <w:r>
        <w:rPr>
          <w:rFonts w:cs="Times New Roman"/>
        </w:rPr>
        <w:t>2.</w:t>
      </w:r>
      <w:r w:rsidR="00130E72">
        <w:rPr>
          <w:rFonts w:cs="Times New Roman"/>
        </w:rPr>
        <w:t>10</w:t>
      </w:r>
      <w:r>
        <w:rPr>
          <w:rFonts w:cs="Times New Roman"/>
        </w:rPr>
        <w:tab/>
      </w:r>
      <w:r w:rsidRPr="00A8406B">
        <w:rPr>
          <w:rFonts w:cs="Times New Roman"/>
        </w:rPr>
        <w:t>In this respect,</w:t>
      </w:r>
      <w:bookmarkStart w:id="0" w:name="_GoBack"/>
      <w:bookmarkEnd w:id="0"/>
      <w:r w:rsidRPr="00A8406B">
        <w:rPr>
          <w:rFonts w:cs="Times New Roman"/>
        </w:rPr>
        <w:t xml:space="preserve"> </w:t>
      </w:r>
      <w:r w:rsidRPr="00A8406B">
        <w:rPr>
          <w:color w:val="000000" w:themeColor="text1"/>
        </w:rPr>
        <w:t>the Planning Inspectorate provides guidance on whether changes can be made to a scheme in its Procedural Guide published in July 2018. Specifically, Appendix M states:</w:t>
      </w:r>
    </w:p>
    <w:p w:rsidR="00A8406B" w:rsidRPr="00A8406B" w:rsidRDefault="00A8406B" w:rsidP="00A8406B">
      <w:pPr>
        <w:widowControl w:val="0"/>
        <w:autoSpaceDE w:val="0"/>
        <w:autoSpaceDN w:val="0"/>
        <w:adjustRightInd w:val="0"/>
        <w:jc w:val="both"/>
        <w:rPr>
          <w:color w:val="000000" w:themeColor="text1"/>
        </w:rPr>
      </w:pPr>
    </w:p>
    <w:p w:rsidR="00A8406B" w:rsidRPr="00A8406B" w:rsidRDefault="00A8406B" w:rsidP="00A8406B">
      <w:pPr>
        <w:pStyle w:val="Default"/>
        <w:ind w:left="1440"/>
        <w:jc w:val="both"/>
        <w:rPr>
          <w:rFonts w:asciiTheme="minorHAnsi" w:hAnsiTheme="minorHAnsi"/>
          <w:i/>
        </w:rPr>
      </w:pPr>
      <w:r w:rsidRPr="00A8406B">
        <w:rPr>
          <w:rFonts w:asciiTheme="minorHAnsi" w:hAnsiTheme="minorHAnsi"/>
          <w:i/>
        </w:rPr>
        <w:t>M.2.2</w:t>
      </w:r>
      <w:r w:rsidRPr="00A8406B">
        <w:rPr>
          <w:rFonts w:asciiTheme="minorHAnsi" w:hAnsiTheme="minorHAnsi"/>
          <w:i/>
        </w:rPr>
        <w:tab/>
        <w:t xml:space="preserve">Where, exceptionally, amendments are proposed during the appeals process the Inspector will take account of the Wheatcroft Principles when deciding if the proposals can be formally amended. In the ‘Wheatcroft’ judgment22 the High Court considered the issue of amendments in the context of conditions and established that “the main, but not the only, criterion on which… judgment should be exercised is whether the development is so changed that to grant it would be to deprive those who </w:t>
      </w:r>
      <w:r w:rsidRPr="00A8406B">
        <w:rPr>
          <w:rFonts w:asciiTheme="minorHAnsi" w:hAnsiTheme="minorHAnsi"/>
          <w:i/>
        </w:rPr>
        <w:lastRenderedPageBreak/>
        <w:t xml:space="preserve">should have been consulted on the changed development of the opportunity of such consultation”. It has subsequently been established that the power to consider amendments is not limited to cases where the effect of a proposed amendment would be to reduce the development23. </w:t>
      </w:r>
    </w:p>
    <w:p w:rsidR="00A8406B" w:rsidRPr="00A8406B" w:rsidRDefault="00A8406B" w:rsidP="00A8406B">
      <w:pPr>
        <w:pStyle w:val="Default"/>
        <w:jc w:val="both"/>
        <w:rPr>
          <w:rFonts w:asciiTheme="minorHAnsi" w:hAnsiTheme="minorHAnsi"/>
          <w:i/>
        </w:rPr>
      </w:pPr>
      <w:r w:rsidRPr="00A8406B">
        <w:rPr>
          <w:rFonts w:asciiTheme="minorHAnsi" w:hAnsiTheme="minorHAnsi"/>
          <w:i/>
        </w:rPr>
        <w:tab/>
      </w:r>
    </w:p>
    <w:p w:rsidR="00A8406B" w:rsidRPr="00A8406B" w:rsidRDefault="00A8406B" w:rsidP="00A8406B">
      <w:pPr>
        <w:pStyle w:val="Default"/>
        <w:ind w:left="1440"/>
        <w:jc w:val="both"/>
        <w:rPr>
          <w:rFonts w:asciiTheme="minorHAnsi" w:hAnsiTheme="minorHAnsi"/>
          <w:i/>
        </w:rPr>
      </w:pPr>
      <w:r w:rsidRPr="00A8406B">
        <w:rPr>
          <w:rFonts w:asciiTheme="minorHAnsi" w:hAnsiTheme="minorHAnsi"/>
          <w:i/>
        </w:rPr>
        <w:t xml:space="preserve">M.2.3 Whilst amendments to a scheme might be thought to be of little significance, in some cases even minor changes can materially alter the nature of an application and lead to possible prejudice to other interested people. </w:t>
      </w:r>
    </w:p>
    <w:p w:rsidR="00A8406B" w:rsidRPr="00A8406B" w:rsidRDefault="00A8406B" w:rsidP="00A8406B">
      <w:pPr>
        <w:widowControl w:val="0"/>
        <w:autoSpaceDE w:val="0"/>
        <w:autoSpaceDN w:val="0"/>
        <w:adjustRightInd w:val="0"/>
        <w:jc w:val="both"/>
        <w:rPr>
          <w:i/>
        </w:rPr>
      </w:pPr>
    </w:p>
    <w:p w:rsidR="00A8406B" w:rsidRPr="00A8406B" w:rsidRDefault="00A8406B" w:rsidP="00A8406B">
      <w:pPr>
        <w:widowControl w:val="0"/>
        <w:autoSpaceDE w:val="0"/>
        <w:autoSpaceDN w:val="0"/>
        <w:adjustRightInd w:val="0"/>
        <w:ind w:left="1440"/>
        <w:jc w:val="both"/>
        <w:rPr>
          <w:color w:val="000000" w:themeColor="text1"/>
        </w:rPr>
      </w:pPr>
      <w:r w:rsidRPr="00A8406B">
        <w:rPr>
          <w:i/>
        </w:rPr>
        <w:t>M.2.4 The Inspector has to consider if the suggested amendment(s) might prejudice anyone involved in the appeal. He or she may reach the conclusion that the proposed amendment(s) should not be considered and that the appeal has to be decided on the basis of the proposal as set out in the application</w:t>
      </w:r>
      <w:r w:rsidRPr="00A8406B">
        <w:t>.</w:t>
      </w:r>
    </w:p>
    <w:p w:rsidR="00A8406B" w:rsidRPr="00A8406B" w:rsidRDefault="00A8406B" w:rsidP="00A8406B">
      <w:pPr>
        <w:widowControl w:val="0"/>
        <w:autoSpaceDE w:val="0"/>
        <w:autoSpaceDN w:val="0"/>
        <w:adjustRightInd w:val="0"/>
        <w:jc w:val="both"/>
        <w:rPr>
          <w:color w:val="000000" w:themeColor="text1"/>
        </w:rPr>
      </w:pPr>
    </w:p>
    <w:p w:rsidR="00A8406B" w:rsidRPr="00A8406B" w:rsidRDefault="00A8406B" w:rsidP="00A8406B">
      <w:pPr>
        <w:widowControl w:val="0"/>
        <w:autoSpaceDE w:val="0"/>
        <w:autoSpaceDN w:val="0"/>
        <w:adjustRightInd w:val="0"/>
        <w:ind w:left="720" w:hanging="720"/>
        <w:jc w:val="both"/>
        <w:rPr>
          <w:rFonts w:cs="Times New Roman"/>
        </w:rPr>
      </w:pPr>
      <w:r>
        <w:rPr>
          <w:rFonts w:cs="Times New Roman"/>
        </w:rPr>
        <w:t>2.</w:t>
      </w:r>
      <w:r w:rsidR="00130E72">
        <w:rPr>
          <w:rFonts w:cs="Times New Roman"/>
        </w:rPr>
        <w:t>11</w:t>
      </w:r>
      <w:r>
        <w:rPr>
          <w:rFonts w:cs="Times New Roman"/>
        </w:rPr>
        <w:tab/>
      </w:r>
      <w:r w:rsidRPr="00A8406B">
        <w:rPr>
          <w:rFonts w:cs="Times New Roman"/>
        </w:rPr>
        <w:t>On the basis of this, we invite the Inspector to accept the drawings as the change</w:t>
      </w:r>
      <w:r w:rsidR="00130E72">
        <w:rPr>
          <w:rFonts w:cs="Times New Roman"/>
        </w:rPr>
        <w:t>s are</w:t>
      </w:r>
      <w:r w:rsidRPr="00A8406B">
        <w:rPr>
          <w:rFonts w:cs="Times New Roman"/>
        </w:rPr>
        <w:t xml:space="preserve"> minimal and will not prejudice 3</w:t>
      </w:r>
      <w:r w:rsidRPr="00A8406B">
        <w:rPr>
          <w:rFonts w:cs="Times New Roman"/>
          <w:vertAlign w:val="superscript"/>
        </w:rPr>
        <w:t>rd</w:t>
      </w:r>
      <w:r>
        <w:rPr>
          <w:rFonts w:cs="Times New Roman"/>
        </w:rPr>
        <w:t xml:space="preserve"> party interests particularly given the finer details will be conditioned.</w:t>
      </w:r>
    </w:p>
    <w:p w:rsidR="00A8406B" w:rsidRDefault="00A8406B" w:rsidP="00A8406B">
      <w:pPr>
        <w:widowControl w:val="0"/>
        <w:autoSpaceDE w:val="0"/>
        <w:autoSpaceDN w:val="0"/>
        <w:adjustRightInd w:val="0"/>
        <w:rPr>
          <w:rFonts w:ascii="Franklin Gothic Book" w:hAnsi="Franklin Gothic Book" w:cs="Times New Roman"/>
          <w:sz w:val="22"/>
          <w:szCs w:val="22"/>
        </w:rPr>
      </w:pPr>
    </w:p>
    <w:p w:rsidR="00A8406B" w:rsidRPr="00E14A76" w:rsidRDefault="00A8406B" w:rsidP="00D50E9D">
      <w:pPr>
        <w:jc w:val="both"/>
        <w:rPr>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8F56F6" w:rsidRDefault="008F56F6"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130E72" w:rsidRDefault="00130E72" w:rsidP="00D50E9D">
      <w:pPr>
        <w:jc w:val="both"/>
        <w:rPr>
          <w:b/>
          <w:color w:val="000000" w:themeColor="text1"/>
        </w:rPr>
      </w:pPr>
    </w:p>
    <w:p w:rsidR="008F56F6" w:rsidRDefault="008F56F6" w:rsidP="00277952">
      <w:pPr>
        <w:autoSpaceDE w:val="0"/>
        <w:autoSpaceDN w:val="0"/>
        <w:adjustRightInd w:val="0"/>
        <w:jc w:val="both"/>
        <w:rPr>
          <w:rFonts w:cs="Times New Roman"/>
          <w:b/>
          <w:color w:val="000000" w:themeColor="text1"/>
        </w:rPr>
      </w:pPr>
    </w:p>
    <w:p w:rsidR="00484B5D" w:rsidRPr="00EE0E24" w:rsidRDefault="00130E72" w:rsidP="00277952">
      <w:pPr>
        <w:autoSpaceDE w:val="0"/>
        <w:autoSpaceDN w:val="0"/>
        <w:adjustRightInd w:val="0"/>
        <w:jc w:val="both"/>
        <w:rPr>
          <w:rFonts w:cs="Times New Roman"/>
          <w:b/>
          <w:color w:val="000000" w:themeColor="text1"/>
        </w:rPr>
      </w:pPr>
      <w:r>
        <w:rPr>
          <w:rFonts w:cs="Times New Roman"/>
          <w:b/>
          <w:color w:val="000000" w:themeColor="text1"/>
        </w:rPr>
        <w:t>3</w:t>
      </w:r>
      <w:r w:rsidR="00484B5D" w:rsidRPr="00EE0E24">
        <w:rPr>
          <w:rFonts w:cs="Times New Roman"/>
          <w:b/>
          <w:color w:val="000000" w:themeColor="text1"/>
        </w:rPr>
        <w:t>.0</w:t>
      </w:r>
      <w:r w:rsidR="00484B5D" w:rsidRPr="00EE0E24">
        <w:rPr>
          <w:rFonts w:cs="Times New Roman"/>
          <w:b/>
          <w:color w:val="000000" w:themeColor="text1"/>
        </w:rPr>
        <w:tab/>
        <w:t>Conclusion</w:t>
      </w:r>
    </w:p>
    <w:p w:rsidR="00484B5D" w:rsidRPr="00EE0E24" w:rsidRDefault="00484B5D" w:rsidP="00277952">
      <w:pPr>
        <w:autoSpaceDE w:val="0"/>
        <w:autoSpaceDN w:val="0"/>
        <w:adjustRightInd w:val="0"/>
        <w:jc w:val="both"/>
        <w:rPr>
          <w:rFonts w:cs="Times New Roman"/>
          <w:b/>
          <w:color w:val="000000" w:themeColor="text1"/>
        </w:rPr>
      </w:pPr>
    </w:p>
    <w:p w:rsidR="00484B5D" w:rsidRPr="00EE0E24" w:rsidRDefault="00130E72" w:rsidP="00A214DF">
      <w:pPr>
        <w:autoSpaceDE w:val="0"/>
        <w:autoSpaceDN w:val="0"/>
        <w:adjustRightInd w:val="0"/>
        <w:ind w:left="720" w:hanging="720"/>
        <w:jc w:val="both"/>
        <w:rPr>
          <w:rFonts w:cs="Times New Roman"/>
          <w:color w:val="000000" w:themeColor="text1"/>
        </w:rPr>
      </w:pPr>
      <w:r>
        <w:rPr>
          <w:rFonts w:cs="Times New Roman"/>
          <w:color w:val="000000" w:themeColor="text1"/>
        </w:rPr>
        <w:t>3</w:t>
      </w:r>
      <w:r w:rsidR="00484B5D" w:rsidRPr="00EE0E24">
        <w:rPr>
          <w:rFonts w:cs="Times New Roman"/>
          <w:color w:val="000000" w:themeColor="text1"/>
        </w:rPr>
        <w:t>.1</w:t>
      </w:r>
      <w:r w:rsidR="00484B5D" w:rsidRPr="00EE0E24">
        <w:rPr>
          <w:rFonts w:cs="Times New Roman"/>
          <w:color w:val="000000" w:themeColor="text1"/>
        </w:rPr>
        <w:tab/>
      </w:r>
      <w:r w:rsidR="00A214DF" w:rsidRPr="00EE0E24">
        <w:rPr>
          <w:rFonts w:cs="Times New Roman"/>
          <w:color w:val="000000" w:themeColor="text1"/>
        </w:rPr>
        <w:t>We have demonstrated</w:t>
      </w:r>
      <w:r w:rsidR="00FC5885">
        <w:rPr>
          <w:rFonts w:cs="Times New Roman"/>
          <w:color w:val="000000" w:themeColor="text1"/>
        </w:rPr>
        <w:t xml:space="preserve"> that the issue raised in the reasons for refusal is not sustainable and </w:t>
      </w:r>
      <w:r w:rsidR="00415FCF" w:rsidRPr="00EE0E24">
        <w:rPr>
          <w:rFonts w:cs="Times New Roman"/>
          <w:color w:val="000000" w:themeColor="text1"/>
        </w:rPr>
        <w:t>therefore respectfully request the appeal is allowed.</w:t>
      </w:r>
    </w:p>
    <w:p w:rsidR="00484B5D" w:rsidRPr="00277952" w:rsidRDefault="00484B5D" w:rsidP="00277952">
      <w:pPr>
        <w:autoSpaceDE w:val="0"/>
        <w:autoSpaceDN w:val="0"/>
        <w:adjustRightInd w:val="0"/>
        <w:jc w:val="both"/>
        <w:rPr>
          <w:rFonts w:cs="Times New Roman"/>
        </w:rPr>
      </w:pPr>
    </w:p>
    <w:sectPr w:rsidR="00484B5D" w:rsidRPr="00277952" w:rsidSect="005541A3">
      <w:headerReference w:type="default" r:id="rId9"/>
      <w:footerReference w:type="default" r:id="rId10"/>
      <w:pgSz w:w="11900" w:h="16840"/>
      <w:pgMar w:top="1361" w:right="1701" w:bottom="1134" w:left="107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E46" w:rsidRDefault="00985E46" w:rsidP="007D2DD8">
      <w:r>
        <w:separator/>
      </w:r>
    </w:p>
  </w:endnote>
  <w:endnote w:type="continuationSeparator" w:id="0">
    <w:p w:rsidR="00985E46" w:rsidRDefault="00985E46" w:rsidP="007D2D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ñËÑ˛">
    <w:altName w:val="Calibri"/>
    <w:panose1 w:val="00000000000000000000"/>
    <w:charset w:val="4D"/>
    <w:family w:val="auto"/>
    <w:notTrueType/>
    <w:pitch w:val="default"/>
    <w:sig w:usb0="00000003" w:usb1="00000000" w:usb2="00000000" w:usb3="00000000" w:csb0="00000001" w:csb1="00000000"/>
  </w:font>
  <w:font w:name="Franklin Gothic Book">
    <w:altName w:val="Corbel"/>
    <w:charset w:val="00"/>
    <w:family w:val="swiss"/>
    <w:pitch w:val="variable"/>
    <w:sig w:usb0="00000001" w:usb1="00000000" w:usb2="00000000" w:usb3="00000000" w:csb0="0000009F" w:csb1="00000000"/>
  </w:font>
  <w:font w:name="_W_Õ˛">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A1" w:rsidRPr="00E245FC" w:rsidRDefault="00CF71A1" w:rsidP="00E245FC">
    <w:pPr>
      <w:pStyle w:val="BasicParagraph"/>
      <w:tabs>
        <w:tab w:val="left" w:pos="7513"/>
      </w:tabs>
      <w:rPr>
        <w:rFonts w:ascii="Franklin Gothic Book" w:hAnsi="Franklin Gothic Book" w:cs="Franklin Gothic Book"/>
        <w:color w:val="005B96"/>
        <w:sz w:val="16"/>
        <w:szCs w:val="16"/>
      </w:rPr>
    </w:pPr>
    <w:r>
      <w:rPr>
        <w:rFonts w:ascii="Franklin Gothic Book" w:hAnsi="Franklin Gothic Book" w:cs="Franklin Gothic Book"/>
        <w:color w:val="005B96"/>
        <w:sz w:val="16"/>
        <w:szCs w:val="16"/>
      </w:rPr>
      <w:t>PPM Planning Limited is registered in England and Wales number 7866759.</w:t>
    </w:r>
    <w:r>
      <w:rPr>
        <w:rFonts w:ascii="Franklin Gothic Book" w:hAnsi="Franklin Gothic Book" w:cs="Franklin Gothic Book"/>
        <w:color w:val="005B96"/>
        <w:sz w:val="16"/>
        <w:szCs w:val="16"/>
      </w:rPr>
      <w:tab/>
    </w:r>
    <w:r>
      <w:rPr>
        <w:rFonts w:ascii="Franklin Gothic Book" w:hAnsi="Franklin Gothic Book" w:cs="Franklin Gothic Book"/>
        <w:noProof/>
        <w:color w:val="005B96"/>
        <w:sz w:val="16"/>
        <w:szCs w:val="16"/>
        <w:lang w:eastAsia="en-GB"/>
      </w:rPr>
      <w:drawing>
        <wp:inline distT="0" distB="0" distL="0" distR="0">
          <wp:extent cx="963253" cy="33083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PI-CTP-Logo-Print.eps"/>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63946" cy="331073"/>
                  </a:xfrm>
                  <a:prstGeom prst="rect">
                    <a:avLst/>
                  </a:prstGeom>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A1" w:rsidRPr="00E245FC" w:rsidRDefault="00CF71A1" w:rsidP="00E245FC">
    <w:pPr>
      <w:pStyle w:val="BasicParagraph"/>
      <w:tabs>
        <w:tab w:val="left" w:pos="7513"/>
      </w:tabs>
      <w:rPr>
        <w:rFonts w:ascii="Franklin Gothic Book" w:hAnsi="Franklin Gothic Book" w:cs="Franklin Gothic Book"/>
        <w:color w:val="005B96"/>
        <w:sz w:val="16"/>
        <w:szCs w:val="16"/>
      </w:rPr>
    </w:pPr>
    <w:r>
      <w:rPr>
        <w:rFonts w:ascii="Franklin Gothic Book" w:hAnsi="Franklin Gothic Book" w:cs="Franklin Gothic Book"/>
        <w:color w:val="005B96"/>
        <w:sz w:val="16"/>
        <w:szCs w:val="16"/>
      </w:rPr>
      <w:t>PPM Planning Limited is registered in England and Wales number 7866759.</w:t>
    </w:r>
    <w:r>
      <w:rPr>
        <w:rFonts w:ascii="Franklin Gothic Book" w:hAnsi="Franklin Gothic Book" w:cs="Franklin Gothic Book"/>
        <w:color w:val="005B96"/>
        <w:sz w:val="16"/>
        <w:szCs w:val="16"/>
      </w:rPr>
      <w:tab/>
    </w:r>
    <w:r>
      <w:rPr>
        <w:rFonts w:ascii="Franklin Gothic Book" w:hAnsi="Franklin Gothic Book" w:cs="Franklin Gothic Book"/>
        <w:noProof/>
        <w:color w:val="005B96"/>
        <w:sz w:val="16"/>
        <w:szCs w:val="16"/>
        <w:lang w:eastAsia="en-GB"/>
      </w:rPr>
      <w:drawing>
        <wp:inline distT="0" distB="0" distL="0" distR="0">
          <wp:extent cx="963253" cy="3308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PI-CTP-Logo-Print.eps"/>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63946" cy="331073"/>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E46" w:rsidRDefault="00985E46" w:rsidP="007D2DD8">
      <w:r>
        <w:separator/>
      </w:r>
    </w:p>
  </w:footnote>
  <w:footnote w:type="continuationSeparator" w:id="0">
    <w:p w:rsidR="00985E46" w:rsidRDefault="00985E46" w:rsidP="007D2D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A1" w:rsidRDefault="00CF71A1">
    <w:pPr>
      <w:pStyle w:val="Header"/>
    </w:pPr>
    <w:r w:rsidRPr="000B422A">
      <w:rPr>
        <w:noProof/>
        <w:lang w:val="en-GB" w:eastAsia="en-GB"/>
      </w:rPr>
      <w:drawing>
        <wp:inline distT="0" distB="0" distL="0" distR="0">
          <wp:extent cx="5849013" cy="1287058"/>
          <wp:effectExtent l="19050" t="0" r="0" b="0"/>
          <wp:docPr id="5" name="Picture 0" descr="ppm Planning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m Planning banner.jpg"/>
                  <pic:cNvPicPr/>
                </pic:nvPicPr>
                <pic:blipFill>
                  <a:blip r:embed="rId1"/>
                  <a:stretch>
                    <a:fillRect/>
                  </a:stretch>
                </pic:blipFill>
                <pic:spPr>
                  <a:xfrm>
                    <a:off x="0" y="0"/>
                    <a:ext cx="5860079" cy="1289493"/>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1A1" w:rsidRDefault="00CF71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95631B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hybridMultilevel"/>
    <w:tmpl w:val="58201F82"/>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2"/>
    <w:multiLevelType w:val="hybridMultilevel"/>
    <w:tmpl w:val="2BB053FC"/>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4C9314A"/>
    <w:multiLevelType w:val="hybridMultilevel"/>
    <w:tmpl w:val="371A6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107EC4"/>
    <w:multiLevelType w:val="hybridMultilevel"/>
    <w:tmpl w:val="D43E065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0F060218"/>
    <w:multiLevelType w:val="hybridMultilevel"/>
    <w:tmpl w:val="E7683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F66A53"/>
    <w:multiLevelType w:val="hybridMultilevel"/>
    <w:tmpl w:val="62E8C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1A77541"/>
    <w:multiLevelType w:val="multilevel"/>
    <w:tmpl w:val="1C289ED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CA35B3D"/>
    <w:multiLevelType w:val="hybridMultilevel"/>
    <w:tmpl w:val="0F0A4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0C6227"/>
    <w:multiLevelType w:val="hybridMultilevel"/>
    <w:tmpl w:val="44B6482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F9594B"/>
    <w:multiLevelType w:val="multilevel"/>
    <w:tmpl w:val="B5B6A8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3A477B2"/>
    <w:multiLevelType w:val="hybridMultilevel"/>
    <w:tmpl w:val="82FA55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2C7125E7"/>
    <w:multiLevelType w:val="hybridMultilevel"/>
    <w:tmpl w:val="9E0A8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E3E43CC"/>
    <w:multiLevelType w:val="hybridMultilevel"/>
    <w:tmpl w:val="64628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D41DDB"/>
    <w:multiLevelType w:val="multilevel"/>
    <w:tmpl w:val="23E6B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2D2793"/>
    <w:multiLevelType w:val="hybridMultilevel"/>
    <w:tmpl w:val="C3BCAC04"/>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3BD0698C"/>
    <w:multiLevelType w:val="hybridMultilevel"/>
    <w:tmpl w:val="E50446BA"/>
    <w:lvl w:ilvl="0" w:tplc="70109E7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251ADB"/>
    <w:multiLevelType w:val="hybridMultilevel"/>
    <w:tmpl w:val="F42E2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105B34"/>
    <w:multiLevelType w:val="hybridMultilevel"/>
    <w:tmpl w:val="4E6CFB2A"/>
    <w:lvl w:ilvl="0" w:tplc="00000065">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4FD2C1B"/>
    <w:multiLevelType w:val="multilevel"/>
    <w:tmpl w:val="9DA8DDA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9F96980"/>
    <w:multiLevelType w:val="multilevel"/>
    <w:tmpl w:val="2CE6EAB2"/>
    <w:lvl w:ilvl="0">
      <w:start w:val="1"/>
      <w:numFmt w:val="decimal"/>
      <w:lvlText w:val="%1.0"/>
      <w:lvlJc w:val="left"/>
      <w:pPr>
        <w:ind w:left="400" w:hanging="400"/>
      </w:pPr>
      <w:rPr>
        <w:rFonts w:hint="default"/>
        <w:b/>
      </w:rPr>
    </w:lvl>
    <w:lvl w:ilvl="1">
      <w:start w:val="1"/>
      <w:numFmt w:val="decimal"/>
      <w:lvlText w:val="%1.%2"/>
      <w:lvlJc w:val="left"/>
      <w:pPr>
        <w:ind w:left="1120" w:hanging="40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21">
    <w:nsid w:val="5A6A56C5"/>
    <w:multiLevelType w:val="hybridMultilevel"/>
    <w:tmpl w:val="208609CC"/>
    <w:lvl w:ilvl="0" w:tplc="0AAA99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F515EE0"/>
    <w:multiLevelType w:val="multilevel"/>
    <w:tmpl w:val="27321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A40B73"/>
    <w:multiLevelType w:val="multilevel"/>
    <w:tmpl w:val="DA185CE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65787CE4"/>
    <w:multiLevelType w:val="hybridMultilevel"/>
    <w:tmpl w:val="2FB6CC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65A251F4"/>
    <w:multiLevelType w:val="hybridMultilevel"/>
    <w:tmpl w:val="9A148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6440E72"/>
    <w:multiLevelType w:val="hybridMultilevel"/>
    <w:tmpl w:val="CCB6F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FB300F4"/>
    <w:multiLevelType w:val="hybridMultilevel"/>
    <w:tmpl w:val="751AFA12"/>
    <w:lvl w:ilvl="0" w:tplc="00000001">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73A55B75"/>
    <w:multiLevelType w:val="hybridMultilevel"/>
    <w:tmpl w:val="DF60F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4A704B7"/>
    <w:multiLevelType w:val="multilevel"/>
    <w:tmpl w:val="138E7F3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nsid w:val="752C580A"/>
    <w:multiLevelType w:val="hybridMultilevel"/>
    <w:tmpl w:val="71B24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
  </w:num>
  <w:num w:numId="3">
    <w:abstractNumId w:val="0"/>
  </w:num>
  <w:num w:numId="4">
    <w:abstractNumId w:val="30"/>
  </w:num>
  <w:num w:numId="5">
    <w:abstractNumId w:val="8"/>
  </w:num>
  <w:num w:numId="6">
    <w:abstractNumId w:val="13"/>
  </w:num>
  <w:num w:numId="7">
    <w:abstractNumId w:val="5"/>
  </w:num>
  <w:num w:numId="8">
    <w:abstractNumId w:val="26"/>
  </w:num>
  <w:num w:numId="9">
    <w:abstractNumId w:val="29"/>
  </w:num>
  <w:num w:numId="10">
    <w:abstractNumId w:val="20"/>
  </w:num>
  <w:num w:numId="11">
    <w:abstractNumId w:val="16"/>
  </w:num>
  <w:num w:numId="12">
    <w:abstractNumId w:val="28"/>
  </w:num>
  <w:num w:numId="13">
    <w:abstractNumId w:val="1"/>
  </w:num>
  <w:num w:numId="14">
    <w:abstractNumId w:val="2"/>
  </w:num>
  <w:num w:numId="15">
    <w:abstractNumId w:val="27"/>
  </w:num>
  <w:num w:numId="16">
    <w:abstractNumId w:val="18"/>
  </w:num>
  <w:num w:numId="17">
    <w:abstractNumId w:val="12"/>
  </w:num>
  <w:num w:numId="18">
    <w:abstractNumId w:val="11"/>
  </w:num>
  <w:num w:numId="19">
    <w:abstractNumId w:val="6"/>
  </w:num>
  <w:num w:numId="20">
    <w:abstractNumId w:val="4"/>
  </w:num>
  <w:num w:numId="21">
    <w:abstractNumId w:val="15"/>
  </w:num>
  <w:num w:numId="22">
    <w:abstractNumId w:val="24"/>
  </w:num>
  <w:num w:numId="23">
    <w:abstractNumId w:val="21"/>
  </w:num>
  <w:num w:numId="24">
    <w:abstractNumId w:val="25"/>
  </w:num>
  <w:num w:numId="25">
    <w:abstractNumId w:val="22"/>
  </w:num>
  <w:num w:numId="26">
    <w:abstractNumId w:val="10"/>
  </w:num>
  <w:num w:numId="27">
    <w:abstractNumId w:val="14"/>
  </w:num>
  <w:num w:numId="28">
    <w:abstractNumId w:val="19"/>
  </w:num>
  <w:num w:numId="29">
    <w:abstractNumId w:val="23"/>
  </w:num>
  <w:num w:numId="30">
    <w:abstractNumId w:val="7"/>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
  <w:rsids>
    <w:rsidRoot w:val="00DC12E3"/>
    <w:rsid w:val="0000634C"/>
    <w:rsid w:val="00042E8E"/>
    <w:rsid w:val="00043D10"/>
    <w:rsid w:val="00051475"/>
    <w:rsid w:val="00063464"/>
    <w:rsid w:val="000715BA"/>
    <w:rsid w:val="00072E29"/>
    <w:rsid w:val="0007710C"/>
    <w:rsid w:val="000868D0"/>
    <w:rsid w:val="000A0631"/>
    <w:rsid w:val="000A3729"/>
    <w:rsid w:val="000B422A"/>
    <w:rsid w:val="000C2669"/>
    <w:rsid w:val="000D5D7D"/>
    <w:rsid w:val="000E144A"/>
    <w:rsid w:val="000E3EC8"/>
    <w:rsid w:val="000E578A"/>
    <w:rsid w:val="00100230"/>
    <w:rsid w:val="0010353D"/>
    <w:rsid w:val="0010374B"/>
    <w:rsid w:val="0012001B"/>
    <w:rsid w:val="00126417"/>
    <w:rsid w:val="00130E72"/>
    <w:rsid w:val="00165B23"/>
    <w:rsid w:val="00170AA1"/>
    <w:rsid w:val="00181BE5"/>
    <w:rsid w:val="001836FC"/>
    <w:rsid w:val="001A67FE"/>
    <w:rsid w:val="001B3B19"/>
    <w:rsid w:val="001B66AD"/>
    <w:rsid w:val="001D328B"/>
    <w:rsid w:val="001E5AB5"/>
    <w:rsid w:val="002117DD"/>
    <w:rsid w:val="00217D43"/>
    <w:rsid w:val="00220FFA"/>
    <w:rsid w:val="00221BDA"/>
    <w:rsid w:val="002273A2"/>
    <w:rsid w:val="00235B34"/>
    <w:rsid w:val="002437E1"/>
    <w:rsid w:val="0024389F"/>
    <w:rsid w:val="00251843"/>
    <w:rsid w:val="00253061"/>
    <w:rsid w:val="00253D60"/>
    <w:rsid w:val="00260181"/>
    <w:rsid w:val="00263F03"/>
    <w:rsid w:val="00272D4D"/>
    <w:rsid w:val="002773C1"/>
    <w:rsid w:val="00277952"/>
    <w:rsid w:val="002779EF"/>
    <w:rsid w:val="00282661"/>
    <w:rsid w:val="00287226"/>
    <w:rsid w:val="00296695"/>
    <w:rsid w:val="002A3C2F"/>
    <w:rsid w:val="002B25F0"/>
    <w:rsid w:val="002B7C89"/>
    <w:rsid w:val="002D3F5C"/>
    <w:rsid w:val="002D528D"/>
    <w:rsid w:val="002E5601"/>
    <w:rsid w:val="002F62CB"/>
    <w:rsid w:val="00304C1B"/>
    <w:rsid w:val="00324AFB"/>
    <w:rsid w:val="003338ED"/>
    <w:rsid w:val="00336825"/>
    <w:rsid w:val="00341041"/>
    <w:rsid w:val="00341786"/>
    <w:rsid w:val="00342E02"/>
    <w:rsid w:val="00360688"/>
    <w:rsid w:val="00367B42"/>
    <w:rsid w:val="003700AB"/>
    <w:rsid w:val="00370BAC"/>
    <w:rsid w:val="00373D8D"/>
    <w:rsid w:val="00394325"/>
    <w:rsid w:val="0039792D"/>
    <w:rsid w:val="003A634C"/>
    <w:rsid w:val="003B2308"/>
    <w:rsid w:val="003B422E"/>
    <w:rsid w:val="003C174D"/>
    <w:rsid w:val="003C4884"/>
    <w:rsid w:val="003F4538"/>
    <w:rsid w:val="00415FCF"/>
    <w:rsid w:val="0044360A"/>
    <w:rsid w:val="00445C42"/>
    <w:rsid w:val="004535A7"/>
    <w:rsid w:val="0046090E"/>
    <w:rsid w:val="00467983"/>
    <w:rsid w:val="00471899"/>
    <w:rsid w:val="00474F3B"/>
    <w:rsid w:val="00476F68"/>
    <w:rsid w:val="00482852"/>
    <w:rsid w:val="00484B5D"/>
    <w:rsid w:val="004C3B95"/>
    <w:rsid w:val="004C3CB1"/>
    <w:rsid w:val="004D5F68"/>
    <w:rsid w:val="004E1DCC"/>
    <w:rsid w:val="004E29A5"/>
    <w:rsid w:val="004E54E9"/>
    <w:rsid w:val="004E5F02"/>
    <w:rsid w:val="00513885"/>
    <w:rsid w:val="00524C54"/>
    <w:rsid w:val="0053633A"/>
    <w:rsid w:val="005446CB"/>
    <w:rsid w:val="005541A3"/>
    <w:rsid w:val="005560E9"/>
    <w:rsid w:val="00596840"/>
    <w:rsid w:val="005A10F6"/>
    <w:rsid w:val="005A33EE"/>
    <w:rsid w:val="005A6C25"/>
    <w:rsid w:val="005C1419"/>
    <w:rsid w:val="005C207C"/>
    <w:rsid w:val="005D6584"/>
    <w:rsid w:val="005E2C55"/>
    <w:rsid w:val="005E5D33"/>
    <w:rsid w:val="005F0F49"/>
    <w:rsid w:val="005F3A8F"/>
    <w:rsid w:val="00603305"/>
    <w:rsid w:val="00610160"/>
    <w:rsid w:val="00615B7C"/>
    <w:rsid w:val="00620F91"/>
    <w:rsid w:val="00624A37"/>
    <w:rsid w:val="00624A89"/>
    <w:rsid w:val="006253B1"/>
    <w:rsid w:val="00633CF0"/>
    <w:rsid w:val="00640B57"/>
    <w:rsid w:val="006471EE"/>
    <w:rsid w:val="0065400E"/>
    <w:rsid w:val="00661C84"/>
    <w:rsid w:val="00663921"/>
    <w:rsid w:val="00665BFA"/>
    <w:rsid w:val="0067417D"/>
    <w:rsid w:val="006757B7"/>
    <w:rsid w:val="00681160"/>
    <w:rsid w:val="00682ADA"/>
    <w:rsid w:val="006850FD"/>
    <w:rsid w:val="00695D80"/>
    <w:rsid w:val="006B0DCF"/>
    <w:rsid w:val="006B428D"/>
    <w:rsid w:val="006B5393"/>
    <w:rsid w:val="006C137B"/>
    <w:rsid w:val="006C6F2F"/>
    <w:rsid w:val="006D4559"/>
    <w:rsid w:val="006D5BF4"/>
    <w:rsid w:val="006D726C"/>
    <w:rsid w:val="0070629B"/>
    <w:rsid w:val="00714AC7"/>
    <w:rsid w:val="00716CB7"/>
    <w:rsid w:val="007355FB"/>
    <w:rsid w:val="00737CB6"/>
    <w:rsid w:val="0074465B"/>
    <w:rsid w:val="007635D8"/>
    <w:rsid w:val="00763B4F"/>
    <w:rsid w:val="007722C1"/>
    <w:rsid w:val="0077514E"/>
    <w:rsid w:val="00775AB0"/>
    <w:rsid w:val="00776ED1"/>
    <w:rsid w:val="007934F3"/>
    <w:rsid w:val="00793B6B"/>
    <w:rsid w:val="007947E1"/>
    <w:rsid w:val="007B3FF8"/>
    <w:rsid w:val="007C7C7C"/>
    <w:rsid w:val="007D2DD8"/>
    <w:rsid w:val="007D780B"/>
    <w:rsid w:val="007E52C6"/>
    <w:rsid w:val="007F0E7A"/>
    <w:rsid w:val="007F7DCC"/>
    <w:rsid w:val="00806FC7"/>
    <w:rsid w:val="00810CA5"/>
    <w:rsid w:val="008261F9"/>
    <w:rsid w:val="008358F1"/>
    <w:rsid w:val="00836AFC"/>
    <w:rsid w:val="00855F34"/>
    <w:rsid w:val="00861FC0"/>
    <w:rsid w:val="008700B3"/>
    <w:rsid w:val="00872F22"/>
    <w:rsid w:val="00873B81"/>
    <w:rsid w:val="008907DB"/>
    <w:rsid w:val="00894145"/>
    <w:rsid w:val="008B298A"/>
    <w:rsid w:val="008C0A05"/>
    <w:rsid w:val="008C7BFF"/>
    <w:rsid w:val="008D15F4"/>
    <w:rsid w:val="008D534E"/>
    <w:rsid w:val="008E1A82"/>
    <w:rsid w:val="008E28B6"/>
    <w:rsid w:val="008E638E"/>
    <w:rsid w:val="008F336B"/>
    <w:rsid w:val="008F56F6"/>
    <w:rsid w:val="009028A1"/>
    <w:rsid w:val="00905A4D"/>
    <w:rsid w:val="00907ABE"/>
    <w:rsid w:val="009141AA"/>
    <w:rsid w:val="00926309"/>
    <w:rsid w:val="009378EC"/>
    <w:rsid w:val="00953839"/>
    <w:rsid w:val="009549F4"/>
    <w:rsid w:val="0096795D"/>
    <w:rsid w:val="009857B7"/>
    <w:rsid w:val="00985E46"/>
    <w:rsid w:val="00987B28"/>
    <w:rsid w:val="00993352"/>
    <w:rsid w:val="009964A3"/>
    <w:rsid w:val="009A6CCF"/>
    <w:rsid w:val="009B4349"/>
    <w:rsid w:val="009D02AF"/>
    <w:rsid w:val="009E2F56"/>
    <w:rsid w:val="009E50BA"/>
    <w:rsid w:val="009E6708"/>
    <w:rsid w:val="009F6999"/>
    <w:rsid w:val="00A00BCE"/>
    <w:rsid w:val="00A15E4E"/>
    <w:rsid w:val="00A2093D"/>
    <w:rsid w:val="00A214DF"/>
    <w:rsid w:val="00A24FA4"/>
    <w:rsid w:val="00A30211"/>
    <w:rsid w:val="00A41175"/>
    <w:rsid w:val="00A41203"/>
    <w:rsid w:val="00A445AE"/>
    <w:rsid w:val="00A50DE3"/>
    <w:rsid w:val="00A53080"/>
    <w:rsid w:val="00A60F90"/>
    <w:rsid w:val="00A612DC"/>
    <w:rsid w:val="00A731D8"/>
    <w:rsid w:val="00A73EE1"/>
    <w:rsid w:val="00A8099B"/>
    <w:rsid w:val="00A8406B"/>
    <w:rsid w:val="00A85FA3"/>
    <w:rsid w:val="00A90EAE"/>
    <w:rsid w:val="00AA42DB"/>
    <w:rsid w:val="00AB32BA"/>
    <w:rsid w:val="00AC742F"/>
    <w:rsid w:val="00AD24B5"/>
    <w:rsid w:val="00AD4DED"/>
    <w:rsid w:val="00AE0A35"/>
    <w:rsid w:val="00AE7B8C"/>
    <w:rsid w:val="00AF08A0"/>
    <w:rsid w:val="00B011B7"/>
    <w:rsid w:val="00B06BC6"/>
    <w:rsid w:val="00B3464C"/>
    <w:rsid w:val="00B34F37"/>
    <w:rsid w:val="00B37008"/>
    <w:rsid w:val="00B5117C"/>
    <w:rsid w:val="00B57889"/>
    <w:rsid w:val="00B63265"/>
    <w:rsid w:val="00B755DB"/>
    <w:rsid w:val="00B82EEE"/>
    <w:rsid w:val="00BA1380"/>
    <w:rsid w:val="00BB1840"/>
    <w:rsid w:val="00BC03C1"/>
    <w:rsid w:val="00BC526D"/>
    <w:rsid w:val="00BC706F"/>
    <w:rsid w:val="00C070AA"/>
    <w:rsid w:val="00C26984"/>
    <w:rsid w:val="00C406B4"/>
    <w:rsid w:val="00C42313"/>
    <w:rsid w:val="00C8258D"/>
    <w:rsid w:val="00C84EE0"/>
    <w:rsid w:val="00C92E54"/>
    <w:rsid w:val="00C94EC9"/>
    <w:rsid w:val="00C97207"/>
    <w:rsid w:val="00C97681"/>
    <w:rsid w:val="00CA0A62"/>
    <w:rsid w:val="00CA3E0F"/>
    <w:rsid w:val="00CA4A58"/>
    <w:rsid w:val="00CB4F0C"/>
    <w:rsid w:val="00CC1764"/>
    <w:rsid w:val="00CC370C"/>
    <w:rsid w:val="00CC6776"/>
    <w:rsid w:val="00CE1831"/>
    <w:rsid w:val="00CE22D8"/>
    <w:rsid w:val="00CF71A1"/>
    <w:rsid w:val="00D008FC"/>
    <w:rsid w:val="00D04717"/>
    <w:rsid w:val="00D1383A"/>
    <w:rsid w:val="00D24874"/>
    <w:rsid w:val="00D271C3"/>
    <w:rsid w:val="00D36606"/>
    <w:rsid w:val="00D50B53"/>
    <w:rsid w:val="00D50E9D"/>
    <w:rsid w:val="00D602DE"/>
    <w:rsid w:val="00D74022"/>
    <w:rsid w:val="00DA1A56"/>
    <w:rsid w:val="00DA32E2"/>
    <w:rsid w:val="00DA7816"/>
    <w:rsid w:val="00DB3990"/>
    <w:rsid w:val="00DB460C"/>
    <w:rsid w:val="00DC11BA"/>
    <w:rsid w:val="00DC12E3"/>
    <w:rsid w:val="00DC5442"/>
    <w:rsid w:val="00DD7C2A"/>
    <w:rsid w:val="00DE3414"/>
    <w:rsid w:val="00DF0DF2"/>
    <w:rsid w:val="00DF707D"/>
    <w:rsid w:val="00E133D4"/>
    <w:rsid w:val="00E13C5D"/>
    <w:rsid w:val="00E14A76"/>
    <w:rsid w:val="00E22472"/>
    <w:rsid w:val="00E235A1"/>
    <w:rsid w:val="00E245FC"/>
    <w:rsid w:val="00E41AC4"/>
    <w:rsid w:val="00E41DF5"/>
    <w:rsid w:val="00E44228"/>
    <w:rsid w:val="00E502AA"/>
    <w:rsid w:val="00E63424"/>
    <w:rsid w:val="00E74AC2"/>
    <w:rsid w:val="00E859FB"/>
    <w:rsid w:val="00E9098C"/>
    <w:rsid w:val="00E94E04"/>
    <w:rsid w:val="00EA2483"/>
    <w:rsid w:val="00EC4077"/>
    <w:rsid w:val="00EC5B8D"/>
    <w:rsid w:val="00ED290F"/>
    <w:rsid w:val="00ED61D4"/>
    <w:rsid w:val="00EE0E24"/>
    <w:rsid w:val="00EF7301"/>
    <w:rsid w:val="00F07505"/>
    <w:rsid w:val="00F14A81"/>
    <w:rsid w:val="00F150C8"/>
    <w:rsid w:val="00F236D7"/>
    <w:rsid w:val="00F24AA0"/>
    <w:rsid w:val="00F26EAA"/>
    <w:rsid w:val="00F30DDA"/>
    <w:rsid w:val="00F60114"/>
    <w:rsid w:val="00FC362E"/>
    <w:rsid w:val="00FC5885"/>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3839"/>
    <w:pPr>
      <w:ind w:left="720"/>
      <w:contextualSpacing/>
    </w:pPr>
  </w:style>
  <w:style w:type="paragraph" w:styleId="Header">
    <w:name w:val="header"/>
    <w:basedOn w:val="Normal"/>
    <w:link w:val="HeaderChar"/>
    <w:uiPriority w:val="99"/>
    <w:unhideWhenUsed/>
    <w:rsid w:val="007D2DD8"/>
    <w:pPr>
      <w:tabs>
        <w:tab w:val="center" w:pos="4513"/>
        <w:tab w:val="right" w:pos="9026"/>
      </w:tabs>
    </w:pPr>
  </w:style>
  <w:style w:type="character" w:customStyle="1" w:styleId="HeaderChar">
    <w:name w:val="Header Char"/>
    <w:basedOn w:val="DefaultParagraphFont"/>
    <w:link w:val="Header"/>
    <w:uiPriority w:val="99"/>
    <w:rsid w:val="007D2DD8"/>
  </w:style>
  <w:style w:type="paragraph" w:styleId="Footer">
    <w:name w:val="footer"/>
    <w:basedOn w:val="Normal"/>
    <w:link w:val="FooterChar"/>
    <w:uiPriority w:val="99"/>
    <w:unhideWhenUsed/>
    <w:rsid w:val="007D2DD8"/>
    <w:pPr>
      <w:tabs>
        <w:tab w:val="center" w:pos="4513"/>
        <w:tab w:val="right" w:pos="9026"/>
      </w:tabs>
    </w:pPr>
  </w:style>
  <w:style w:type="character" w:customStyle="1" w:styleId="FooterChar">
    <w:name w:val="Footer Char"/>
    <w:basedOn w:val="DefaultParagraphFont"/>
    <w:link w:val="Footer"/>
    <w:uiPriority w:val="99"/>
    <w:rsid w:val="007D2DD8"/>
  </w:style>
  <w:style w:type="paragraph" w:styleId="BalloonText">
    <w:name w:val="Balloon Text"/>
    <w:basedOn w:val="Normal"/>
    <w:link w:val="BalloonTextChar"/>
    <w:uiPriority w:val="99"/>
    <w:semiHidden/>
    <w:unhideWhenUsed/>
    <w:rsid w:val="007D2DD8"/>
    <w:rPr>
      <w:rFonts w:ascii="Tahoma" w:hAnsi="Tahoma" w:cs="Tahoma"/>
      <w:sz w:val="16"/>
      <w:szCs w:val="16"/>
    </w:rPr>
  </w:style>
  <w:style w:type="character" w:customStyle="1" w:styleId="BalloonTextChar">
    <w:name w:val="Balloon Text Char"/>
    <w:basedOn w:val="DefaultParagraphFont"/>
    <w:link w:val="BalloonText"/>
    <w:uiPriority w:val="99"/>
    <w:semiHidden/>
    <w:rsid w:val="007D2DD8"/>
    <w:rPr>
      <w:rFonts w:ascii="Tahoma" w:hAnsi="Tahoma" w:cs="Tahoma"/>
      <w:sz w:val="16"/>
      <w:szCs w:val="16"/>
    </w:rPr>
  </w:style>
  <w:style w:type="paragraph" w:styleId="ListBullet">
    <w:name w:val="List Bullet"/>
    <w:basedOn w:val="Normal"/>
    <w:uiPriority w:val="99"/>
    <w:unhideWhenUsed/>
    <w:rsid w:val="00072E29"/>
    <w:pPr>
      <w:numPr>
        <w:numId w:val="3"/>
      </w:numPr>
      <w:contextualSpacing/>
    </w:pPr>
  </w:style>
  <w:style w:type="paragraph" w:customStyle="1" w:styleId="BasicParagraph">
    <w:name w:val="[Basic Paragraph]"/>
    <w:basedOn w:val="Normal"/>
    <w:uiPriority w:val="99"/>
    <w:rsid w:val="000C2669"/>
    <w:pPr>
      <w:autoSpaceDE w:val="0"/>
      <w:autoSpaceDN w:val="0"/>
      <w:adjustRightInd w:val="0"/>
      <w:spacing w:line="288" w:lineRule="auto"/>
      <w:textAlignment w:val="center"/>
    </w:pPr>
    <w:rPr>
      <w:rFonts w:ascii="Minion Pro" w:hAnsi="Minion Pro" w:cs="Minion Pro"/>
      <w:color w:val="000000"/>
      <w:lang w:val="en-GB"/>
    </w:rPr>
  </w:style>
  <w:style w:type="paragraph" w:customStyle="1" w:styleId="Default">
    <w:name w:val="Default"/>
    <w:rsid w:val="009964A3"/>
    <w:pPr>
      <w:widowControl w:val="0"/>
      <w:autoSpaceDE w:val="0"/>
      <w:autoSpaceDN w:val="0"/>
      <w:adjustRightInd w:val="0"/>
    </w:pPr>
    <w:rPr>
      <w:rFonts w:ascii="Arial" w:hAnsi="Arial" w:cs="Arial"/>
      <w:color w:val="000000"/>
    </w:rPr>
  </w:style>
  <w:style w:type="paragraph" w:customStyle="1" w:styleId="p1">
    <w:name w:val="p1"/>
    <w:basedOn w:val="Normal"/>
    <w:rsid w:val="008700B3"/>
    <w:rPr>
      <w:rFonts w:ascii="Arial" w:hAnsi="Arial" w:cs="Arial"/>
      <w:sz w:val="17"/>
      <w:szCs w:val="17"/>
      <w:lang w:val="en-GB" w:eastAsia="en-GB"/>
    </w:rPr>
  </w:style>
  <w:style w:type="paragraph" w:customStyle="1" w:styleId="p2">
    <w:name w:val="p2"/>
    <w:basedOn w:val="Normal"/>
    <w:rsid w:val="008700B3"/>
    <w:pPr>
      <w:spacing w:after="14"/>
    </w:pPr>
    <w:rPr>
      <w:rFonts w:ascii="Arial" w:hAnsi="Arial" w:cs="Arial"/>
      <w:sz w:val="17"/>
      <w:szCs w:val="17"/>
      <w:lang w:val="en-GB" w:eastAsia="en-GB"/>
    </w:rPr>
  </w:style>
  <w:style w:type="paragraph" w:customStyle="1" w:styleId="p3">
    <w:name w:val="p3"/>
    <w:basedOn w:val="Normal"/>
    <w:rsid w:val="008700B3"/>
    <w:rPr>
      <w:rFonts w:ascii="Arial" w:hAnsi="Arial" w:cs="Arial"/>
      <w:sz w:val="17"/>
      <w:szCs w:val="17"/>
      <w:lang w:val="en-GB" w:eastAsia="en-GB"/>
    </w:rPr>
  </w:style>
  <w:style w:type="character" w:customStyle="1" w:styleId="s1">
    <w:name w:val="s1"/>
    <w:basedOn w:val="DefaultParagraphFont"/>
    <w:rsid w:val="008700B3"/>
    <w:rPr>
      <w:rFonts w:ascii="Wingdings" w:hAnsi="Wingdings" w:hint="default"/>
      <w:sz w:val="17"/>
      <w:szCs w:val="17"/>
    </w:rPr>
  </w:style>
  <w:style w:type="character" w:customStyle="1" w:styleId="apple-converted-space">
    <w:name w:val="apple-converted-space"/>
    <w:basedOn w:val="DefaultParagraphFont"/>
    <w:rsid w:val="008700B3"/>
  </w:style>
  <w:style w:type="paragraph" w:styleId="PlainText">
    <w:name w:val="Plain Text"/>
    <w:basedOn w:val="Normal"/>
    <w:link w:val="PlainTextChar"/>
    <w:uiPriority w:val="99"/>
    <w:unhideWhenUsed/>
    <w:rsid w:val="00B34F37"/>
    <w:rPr>
      <w:rFonts w:ascii="Courier" w:eastAsia="Times" w:hAnsi="Courier" w:cs="Times New Roman"/>
      <w:color w:val="000000"/>
      <w:sz w:val="21"/>
      <w:szCs w:val="21"/>
      <w:lang w:val="en-GB"/>
    </w:rPr>
  </w:style>
  <w:style w:type="character" w:customStyle="1" w:styleId="PlainTextChar">
    <w:name w:val="Plain Text Char"/>
    <w:basedOn w:val="DefaultParagraphFont"/>
    <w:link w:val="PlainText"/>
    <w:uiPriority w:val="99"/>
    <w:rsid w:val="00B34F37"/>
    <w:rPr>
      <w:rFonts w:ascii="Courier" w:eastAsia="Times" w:hAnsi="Courier" w:cs="Times New Roman"/>
      <w:color w:val="000000"/>
      <w:sz w:val="21"/>
      <w:szCs w:val="21"/>
      <w:lang w:val="en-GB"/>
    </w:rPr>
  </w:style>
  <w:style w:type="table" w:styleId="TableGrid">
    <w:name w:val="Table Grid"/>
    <w:basedOn w:val="TableNormal"/>
    <w:uiPriority w:val="59"/>
    <w:rsid w:val="00B34F37"/>
    <w:rPr>
      <w:rFonts w:ascii="Times New Roman" w:hAnsi="Times New Roman" w:cs="Times New Roman"/>
      <w:sz w:val="20"/>
      <w:szCs w:val="20"/>
      <w:lang w:val="en-GB"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26EAA"/>
    <w:rPr>
      <w:color w:val="0000FF" w:themeColor="hyperlink"/>
      <w:u w:val="single"/>
    </w:rPr>
  </w:style>
  <w:style w:type="paragraph" w:styleId="NormalWeb">
    <w:name w:val="Normal (Web)"/>
    <w:basedOn w:val="Normal"/>
    <w:uiPriority w:val="99"/>
    <w:semiHidden/>
    <w:unhideWhenUsed/>
    <w:rsid w:val="00624A89"/>
    <w:pPr>
      <w:spacing w:before="100" w:beforeAutospacing="1" w:after="100" w:afterAutospacing="1"/>
    </w:pPr>
    <w:rPr>
      <w:rFonts w:ascii="Times New Roman" w:eastAsia="Times New Roman" w:hAnsi="Times New Roman" w:cs="Times New Roman"/>
      <w:lang w:val="en-GB"/>
    </w:rPr>
  </w:style>
</w:styles>
</file>

<file path=word/webSettings.xml><?xml version="1.0" encoding="utf-8"?>
<w:webSettings xmlns:r="http://schemas.openxmlformats.org/officeDocument/2006/relationships" xmlns:w="http://schemas.openxmlformats.org/wordprocessingml/2006/main">
  <w:divs>
    <w:div w:id="36122825">
      <w:bodyDiv w:val="1"/>
      <w:marLeft w:val="0"/>
      <w:marRight w:val="0"/>
      <w:marTop w:val="0"/>
      <w:marBottom w:val="0"/>
      <w:divBdr>
        <w:top w:val="none" w:sz="0" w:space="0" w:color="auto"/>
        <w:left w:val="none" w:sz="0" w:space="0" w:color="auto"/>
        <w:bottom w:val="none" w:sz="0" w:space="0" w:color="auto"/>
        <w:right w:val="none" w:sz="0" w:space="0" w:color="auto"/>
      </w:divBdr>
    </w:div>
    <w:div w:id="158808533">
      <w:bodyDiv w:val="1"/>
      <w:marLeft w:val="0"/>
      <w:marRight w:val="0"/>
      <w:marTop w:val="0"/>
      <w:marBottom w:val="0"/>
      <w:divBdr>
        <w:top w:val="none" w:sz="0" w:space="0" w:color="auto"/>
        <w:left w:val="none" w:sz="0" w:space="0" w:color="auto"/>
        <w:bottom w:val="none" w:sz="0" w:space="0" w:color="auto"/>
        <w:right w:val="none" w:sz="0" w:space="0" w:color="auto"/>
      </w:divBdr>
    </w:div>
    <w:div w:id="364984010">
      <w:bodyDiv w:val="1"/>
      <w:marLeft w:val="0"/>
      <w:marRight w:val="0"/>
      <w:marTop w:val="0"/>
      <w:marBottom w:val="0"/>
      <w:divBdr>
        <w:top w:val="none" w:sz="0" w:space="0" w:color="auto"/>
        <w:left w:val="none" w:sz="0" w:space="0" w:color="auto"/>
        <w:bottom w:val="none" w:sz="0" w:space="0" w:color="auto"/>
        <w:right w:val="none" w:sz="0" w:space="0" w:color="auto"/>
      </w:divBdr>
      <w:divsChild>
        <w:div w:id="230193261">
          <w:marLeft w:val="0"/>
          <w:marRight w:val="0"/>
          <w:marTop w:val="0"/>
          <w:marBottom w:val="0"/>
          <w:divBdr>
            <w:top w:val="none" w:sz="0" w:space="0" w:color="auto"/>
            <w:left w:val="none" w:sz="0" w:space="0" w:color="auto"/>
            <w:bottom w:val="none" w:sz="0" w:space="0" w:color="auto"/>
            <w:right w:val="none" w:sz="0" w:space="0" w:color="auto"/>
          </w:divBdr>
          <w:divsChild>
            <w:div w:id="1924945843">
              <w:marLeft w:val="0"/>
              <w:marRight w:val="0"/>
              <w:marTop w:val="0"/>
              <w:marBottom w:val="0"/>
              <w:divBdr>
                <w:top w:val="none" w:sz="0" w:space="0" w:color="auto"/>
                <w:left w:val="none" w:sz="0" w:space="0" w:color="auto"/>
                <w:bottom w:val="none" w:sz="0" w:space="0" w:color="auto"/>
                <w:right w:val="none" w:sz="0" w:space="0" w:color="auto"/>
              </w:divBdr>
              <w:divsChild>
                <w:div w:id="9137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749126">
      <w:bodyDiv w:val="1"/>
      <w:marLeft w:val="0"/>
      <w:marRight w:val="0"/>
      <w:marTop w:val="0"/>
      <w:marBottom w:val="0"/>
      <w:divBdr>
        <w:top w:val="none" w:sz="0" w:space="0" w:color="auto"/>
        <w:left w:val="none" w:sz="0" w:space="0" w:color="auto"/>
        <w:bottom w:val="none" w:sz="0" w:space="0" w:color="auto"/>
        <w:right w:val="none" w:sz="0" w:space="0" w:color="auto"/>
      </w:divBdr>
    </w:div>
    <w:div w:id="836729287">
      <w:bodyDiv w:val="1"/>
      <w:marLeft w:val="0"/>
      <w:marRight w:val="0"/>
      <w:marTop w:val="0"/>
      <w:marBottom w:val="0"/>
      <w:divBdr>
        <w:top w:val="none" w:sz="0" w:space="0" w:color="auto"/>
        <w:left w:val="none" w:sz="0" w:space="0" w:color="auto"/>
        <w:bottom w:val="none" w:sz="0" w:space="0" w:color="auto"/>
        <w:right w:val="none" w:sz="0" w:space="0" w:color="auto"/>
      </w:divBdr>
    </w:div>
    <w:div w:id="1565414975">
      <w:bodyDiv w:val="1"/>
      <w:marLeft w:val="0"/>
      <w:marRight w:val="0"/>
      <w:marTop w:val="0"/>
      <w:marBottom w:val="0"/>
      <w:divBdr>
        <w:top w:val="none" w:sz="0" w:space="0" w:color="auto"/>
        <w:left w:val="none" w:sz="0" w:space="0" w:color="auto"/>
        <w:bottom w:val="none" w:sz="0" w:space="0" w:color="auto"/>
        <w:right w:val="none" w:sz="0" w:space="0" w:color="auto"/>
      </w:divBdr>
      <w:divsChild>
        <w:div w:id="1618675648">
          <w:marLeft w:val="0"/>
          <w:marRight w:val="0"/>
          <w:marTop w:val="0"/>
          <w:marBottom w:val="0"/>
          <w:divBdr>
            <w:top w:val="none" w:sz="0" w:space="0" w:color="auto"/>
            <w:left w:val="none" w:sz="0" w:space="0" w:color="auto"/>
            <w:bottom w:val="none" w:sz="0" w:space="0" w:color="auto"/>
            <w:right w:val="none" w:sz="0" w:space="0" w:color="auto"/>
          </w:divBdr>
          <w:divsChild>
            <w:div w:id="816873266">
              <w:marLeft w:val="0"/>
              <w:marRight w:val="0"/>
              <w:marTop w:val="0"/>
              <w:marBottom w:val="0"/>
              <w:divBdr>
                <w:top w:val="none" w:sz="0" w:space="0" w:color="auto"/>
                <w:left w:val="none" w:sz="0" w:space="0" w:color="auto"/>
                <w:bottom w:val="none" w:sz="0" w:space="0" w:color="auto"/>
                <w:right w:val="none" w:sz="0" w:space="0" w:color="auto"/>
              </w:divBdr>
              <w:divsChild>
                <w:div w:id="1848321051">
                  <w:marLeft w:val="0"/>
                  <w:marRight w:val="0"/>
                  <w:marTop w:val="0"/>
                  <w:marBottom w:val="0"/>
                  <w:divBdr>
                    <w:top w:val="none" w:sz="0" w:space="0" w:color="auto"/>
                    <w:left w:val="none" w:sz="0" w:space="0" w:color="auto"/>
                    <w:bottom w:val="none" w:sz="0" w:space="0" w:color="auto"/>
                    <w:right w:val="none" w:sz="0" w:space="0" w:color="auto"/>
                  </w:divBdr>
                  <w:divsChild>
                    <w:div w:id="170035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956396">
      <w:bodyDiv w:val="1"/>
      <w:marLeft w:val="0"/>
      <w:marRight w:val="0"/>
      <w:marTop w:val="0"/>
      <w:marBottom w:val="0"/>
      <w:divBdr>
        <w:top w:val="none" w:sz="0" w:space="0" w:color="auto"/>
        <w:left w:val="none" w:sz="0" w:space="0" w:color="auto"/>
        <w:bottom w:val="none" w:sz="0" w:space="0" w:color="auto"/>
        <w:right w:val="none" w:sz="0" w:space="0" w:color="auto"/>
      </w:divBdr>
    </w:div>
    <w:div w:id="1974099126">
      <w:bodyDiv w:val="1"/>
      <w:marLeft w:val="0"/>
      <w:marRight w:val="0"/>
      <w:marTop w:val="0"/>
      <w:marBottom w:val="0"/>
      <w:divBdr>
        <w:top w:val="none" w:sz="0" w:space="0" w:color="auto"/>
        <w:left w:val="none" w:sz="0" w:space="0" w:color="auto"/>
        <w:bottom w:val="none" w:sz="0" w:space="0" w:color="auto"/>
        <w:right w:val="none" w:sz="0" w:space="0" w:color="auto"/>
      </w:divBdr>
      <w:divsChild>
        <w:div w:id="1823278580">
          <w:marLeft w:val="0"/>
          <w:marRight w:val="0"/>
          <w:marTop w:val="0"/>
          <w:marBottom w:val="0"/>
          <w:divBdr>
            <w:top w:val="none" w:sz="0" w:space="0" w:color="auto"/>
            <w:left w:val="none" w:sz="0" w:space="0" w:color="auto"/>
            <w:bottom w:val="none" w:sz="0" w:space="0" w:color="auto"/>
            <w:right w:val="none" w:sz="0" w:space="0" w:color="auto"/>
          </w:divBdr>
          <w:divsChild>
            <w:div w:id="672680855">
              <w:marLeft w:val="0"/>
              <w:marRight w:val="0"/>
              <w:marTop w:val="0"/>
              <w:marBottom w:val="0"/>
              <w:divBdr>
                <w:top w:val="none" w:sz="0" w:space="0" w:color="auto"/>
                <w:left w:val="none" w:sz="0" w:space="0" w:color="auto"/>
                <w:bottom w:val="none" w:sz="0" w:space="0" w:color="auto"/>
                <w:right w:val="none" w:sz="0" w:space="0" w:color="auto"/>
              </w:divBdr>
              <w:divsChild>
                <w:div w:id="671107345">
                  <w:marLeft w:val="0"/>
                  <w:marRight w:val="0"/>
                  <w:marTop w:val="0"/>
                  <w:marBottom w:val="0"/>
                  <w:divBdr>
                    <w:top w:val="none" w:sz="0" w:space="0" w:color="auto"/>
                    <w:left w:val="none" w:sz="0" w:space="0" w:color="auto"/>
                    <w:bottom w:val="none" w:sz="0" w:space="0" w:color="auto"/>
                    <w:right w:val="none" w:sz="0" w:space="0" w:color="auto"/>
                  </w:divBdr>
                  <w:divsChild>
                    <w:div w:id="114218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1541</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London Borough of Hillingdon</Company>
  <LinksUpToDate>false</LinksUpToDate>
  <CharactersWithSpaces>10305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pender</dc:creator>
  <cp:lastModifiedBy>JAllum</cp:lastModifiedBy>
  <cp:revision>2</cp:revision>
  <dcterms:created xsi:type="dcterms:W3CDTF">2018-11-14T17:09:00Z</dcterms:created>
  <dcterms:modified xsi:type="dcterms:W3CDTF">2018-11-14T17:09:00Z</dcterms:modified>
</cp:coreProperties>
</file>