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E369A6" w14:textId="77777777" w:rsidR="0073305D" w:rsidRPr="004E687A" w:rsidRDefault="0073305D">
      <w:pPr>
        <w:pStyle w:val="Header"/>
        <w:tabs>
          <w:tab w:val="clear" w:pos="4153"/>
          <w:tab w:val="clear" w:pos="8306"/>
        </w:tabs>
      </w:pPr>
    </w:p>
    <w:p w14:paraId="3458DEB2" w14:textId="77777777" w:rsidR="0073305D" w:rsidRPr="004E687A" w:rsidRDefault="0073305D">
      <w:pPr>
        <w:pStyle w:val="Header"/>
        <w:tabs>
          <w:tab w:val="clear" w:pos="4153"/>
          <w:tab w:val="clear" w:pos="8306"/>
        </w:tabs>
      </w:pPr>
    </w:p>
    <w:p w14:paraId="506420E3" w14:textId="77777777" w:rsidR="0073305D" w:rsidRDefault="0073305D">
      <w:pPr>
        <w:pStyle w:val="Header"/>
        <w:tabs>
          <w:tab w:val="clear" w:pos="4153"/>
          <w:tab w:val="clear" w:pos="8306"/>
        </w:tabs>
      </w:pPr>
    </w:p>
    <w:p w14:paraId="2C4E9695" w14:textId="77777777" w:rsidR="003564DE" w:rsidRPr="004E687A" w:rsidRDefault="003564DE">
      <w:pPr>
        <w:pStyle w:val="Header"/>
        <w:tabs>
          <w:tab w:val="clear" w:pos="4153"/>
          <w:tab w:val="clear" w:pos="8306"/>
        </w:tabs>
      </w:pPr>
    </w:p>
    <w:p w14:paraId="5DF39E1B" w14:textId="77777777" w:rsidR="004E687A" w:rsidRDefault="004E687A">
      <w:pPr>
        <w:pStyle w:val="Header"/>
        <w:tabs>
          <w:tab w:val="clear" w:pos="4153"/>
          <w:tab w:val="clear" w:pos="8306"/>
        </w:tabs>
      </w:pPr>
    </w:p>
    <w:p w14:paraId="660552B0" w14:textId="77777777" w:rsidR="008368FE" w:rsidRPr="003564DE" w:rsidRDefault="003564DE" w:rsidP="003564DE">
      <w:pPr>
        <w:pStyle w:val="Header"/>
        <w:tabs>
          <w:tab w:val="clear" w:pos="4153"/>
          <w:tab w:val="clear" w:pos="8306"/>
        </w:tabs>
        <w:jc w:val="center"/>
        <w:rPr>
          <w:sz w:val="44"/>
          <w:szCs w:val="44"/>
        </w:rPr>
      </w:pPr>
      <w:r w:rsidRPr="003564DE">
        <w:rPr>
          <w:sz w:val="44"/>
          <w:szCs w:val="44"/>
        </w:rPr>
        <w:t>Town and Country Planning Act 1990</w:t>
      </w:r>
    </w:p>
    <w:p w14:paraId="754224D1" w14:textId="77777777" w:rsidR="003564DE" w:rsidRPr="003564DE" w:rsidRDefault="003564DE" w:rsidP="003564DE">
      <w:pPr>
        <w:pStyle w:val="Header"/>
        <w:tabs>
          <w:tab w:val="clear" w:pos="4153"/>
          <w:tab w:val="clear" w:pos="8306"/>
        </w:tabs>
        <w:jc w:val="center"/>
        <w:rPr>
          <w:sz w:val="44"/>
          <w:szCs w:val="44"/>
        </w:rPr>
      </w:pPr>
      <w:r w:rsidRPr="003564DE">
        <w:rPr>
          <w:sz w:val="44"/>
          <w:szCs w:val="44"/>
        </w:rPr>
        <w:t>Section 78 Planning Appeal</w:t>
      </w:r>
    </w:p>
    <w:p w14:paraId="058B61F0" w14:textId="77777777" w:rsidR="003564DE" w:rsidRDefault="003564DE">
      <w:pPr>
        <w:pStyle w:val="Header"/>
        <w:tabs>
          <w:tab w:val="clear" w:pos="4153"/>
          <w:tab w:val="clear" w:pos="8306"/>
        </w:tabs>
      </w:pPr>
    </w:p>
    <w:p w14:paraId="4F38D8FA" w14:textId="77777777" w:rsidR="003564DE" w:rsidRDefault="003564DE">
      <w:pPr>
        <w:pStyle w:val="Header"/>
        <w:tabs>
          <w:tab w:val="clear" w:pos="4153"/>
          <w:tab w:val="clear" w:pos="8306"/>
        </w:tabs>
      </w:pPr>
    </w:p>
    <w:p w14:paraId="52E8CFC7" w14:textId="77777777" w:rsidR="003564DE" w:rsidRDefault="003564DE">
      <w:pPr>
        <w:pStyle w:val="Header"/>
        <w:tabs>
          <w:tab w:val="clear" w:pos="4153"/>
          <w:tab w:val="clear" w:pos="8306"/>
        </w:tabs>
      </w:pPr>
    </w:p>
    <w:p w14:paraId="4877E0C8" w14:textId="77777777" w:rsidR="003564DE" w:rsidRDefault="003564DE">
      <w:pPr>
        <w:pStyle w:val="Header"/>
        <w:tabs>
          <w:tab w:val="clear" w:pos="4153"/>
          <w:tab w:val="clear" w:pos="8306"/>
        </w:tabs>
      </w:pPr>
    </w:p>
    <w:p w14:paraId="39F72A2E" w14:textId="77777777" w:rsidR="003564DE" w:rsidRDefault="003564DE">
      <w:pPr>
        <w:pStyle w:val="Header"/>
        <w:tabs>
          <w:tab w:val="clear" w:pos="4153"/>
          <w:tab w:val="clear" w:pos="8306"/>
        </w:tabs>
      </w:pPr>
    </w:p>
    <w:p w14:paraId="5A19F22A" w14:textId="77777777" w:rsidR="003564DE" w:rsidRPr="003564DE" w:rsidRDefault="003564DE" w:rsidP="003564DE">
      <w:pPr>
        <w:pStyle w:val="Header"/>
        <w:tabs>
          <w:tab w:val="clear" w:pos="4153"/>
          <w:tab w:val="clear" w:pos="8306"/>
        </w:tabs>
        <w:jc w:val="center"/>
        <w:rPr>
          <w:sz w:val="72"/>
          <w:szCs w:val="72"/>
        </w:rPr>
      </w:pPr>
      <w:r>
        <w:rPr>
          <w:sz w:val="72"/>
          <w:szCs w:val="72"/>
        </w:rPr>
        <w:t xml:space="preserve">London Borough of Hillingdon </w:t>
      </w:r>
      <w:r w:rsidRPr="003564DE">
        <w:rPr>
          <w:sz w:val="72"/>
          <w:szCs w:val="72"/>
        </w:rPr>
        <w:t>Appeal Statement</w:t>
      </w:r>
    </w:p>
    <w:p w14:paraId="306C0BBA" w14:textId="77777777" w:rsidR="008368FE" w:rsidRDefault="008368FE">
      <w:pPr>
        <w:pStyle w:val="Header"/>
        <w:tabs>
          <w:tab w:val="clear" w:pos="4153"/>
          <w:tab w:val="clear" w:pos="8306"/>
        </w:tabs>
      </w:pPr>
    </w:p>
    <w:p w14:paraId="3C0AA993" w14:textId="77777777" w:rsidR="00017EA9" w:rsidRPr="00017EA9" w:rsidRDefault="00017EA9" w:rsidP="00017EA9"/>
    <w:p w14:paraId="00183F6D" w14:textId="77777777" w:rsidR="00017EA9" w:rsidRPr="00017EA9" w:rsidRDefault="00017EA9" w:rsidP="00017EA9"/>
    <w:p w14:paraId="3D45F5F7" w14:textId="77777777" w:rsidR="00017EA9" w:rsidRPr="00017EA9" w:rsidRDefault="00017EA9" w:rsidP="00017EA9"/>
    <w:p w14:paraId="3FF9D581" w14:textId="77777777" w:rsidR="00017EA9" w:rsidRDefault="00017EA9" w:rsidP="00017EA9"/>
    <w:p w14:paraId="6E8095FE" w14:textId="77777777" w:rsidR="00017EA9" w:rsidRDefault="00017EA9" w:rsidP="00533DB4">
      <w:pPr>
        <w:tabs>
          <w:tab w:val="left" w:pos="3765"/>
        </w:tabs>
      </w:pPr>
    </w:p>
    <w:p w14:paraId="56073333" w14:textId="77777777" w:rsidR="003564DE" w:rsidRDefault="003564DE" w:rsidP="004D593D">
      <w:pPr>
        <w:pStyle w:val="Normal1"/>
        <w:widowControl w:val="0"/>
        <w:jc w:val="center"/>
        <w:rPr>
          <w:rFonts w:ascii="Arial" w:eastAsia="Arial" w:hAnsi="Arial" w:cs="Arial"/>
        </w:rPr>
      </w:pPr>
      <w:r>
        <w:rPr>
          <w:rFonts w:ascii="Arial" w:eastAsia="Arial" w:hAnsi="Arial" w:cs="Arial"/>
          <w:b/>
        </w:rPr>
        <w:t>Appeal By:</w:t>
      </w:r>
    </w:p>
    <w:p w14:paraId="6D44042A" w14:textId="568119EA" w:rsidR="003564DE" w:rsidRDefault="00D66886" w:rsidP="004D593D">
      <w:pPr>
        <w:pStyle w:val="Normal1"/>
        <w:pBdr>
          <w:top w:val="nil"/>
          <w:left w:val="nil"/>
          <w:bottom w:val="nil"/>
          <w:right w:val="nil"/>
          <w:between w:val="nil"/>
        </w:pBdr>
        <w:tabs>
          <w:tab w:val="left" w:pos="540"/>
        </w:tabs>
        <w:jc w:val="center"/>
        <w:rPr>
          <w:rFonts w:ascii="Arial" w:eastAsia="Arial" w:hAnsi="Arial" w:cs="Arial"/>
          <w:color w:val="000000"/>
        </w:rPr>
      </w:pPr>
      <w:r w:rsidRPr="00D66886">
        <w:rPr>
          <w:rFonts w:ascii="Arial" w:eastAsia="Arial" w:hAnsi="Arial" w:cs="Arial"/>
        </w:rPr>
        <w:t>Mr Andrew MacDougall</w:t>
      </w:r>
      <w:r w:rsidR="00E132C4">
        <w:rPr>
          <w:rFonts w:ascii="Arial" w:eastAsia="Arial" w:hAnsi="Arial" w:cs="Arial"/>
        </w:rPr>
        <w:br/>
      </w:r>
    </w:p>
    <w:p w14:paraId="6560BAE3" w14:textId="77777777" w:rsidR="003564DE" w:rsidRDefault="003564DE" w:rsidP="00533DB4">
      <w:pPr>
        <w:pStyle w:val="Normal1"/>
        <w:pBdr>
          <w:top w:val="nil"/>
          <w:left w:val="nil"/>
          <w:bottom w:val="nil"/>
          <w:right w:val="nil"/>
          <w:between w:val="nil"/>
        </w:pBdr>
        <w:jc w:val="center"/>
        <w:rPr>
          <w:rFonts w:ascii="Arial" w:eastAsia="Arial" w:hAnsi="Arial" w:cs="Arial"/>
          <w:color w:val="000000"/>
        </w:rPr>
      </w:pPr>
      <w:r>
        <w:rPr>
          <w:rFonts w:ascii="Arial" w:eastAsia="Arial" w:hAnsi="Arial" w:cs="Arial"/>
          <w:b/>
          <w:color w:val="000000"/>
        </w:rPr>
        <w:t>Proposal:</w:t>
      </w:r>
    </w:p>
    <w:p w14:paraId="3C6D82EF" w14:textId="1C6EE870" w:rsidR="003564DE" w:rsidRDefault="001B3EA8" w:rsidP="00533DB4">
      <w:pPr>
        <w:pStyle w:val="Normal1"/>
        <w:widowControl w:val="0"/>
        <w:jc w:val="center"/>
        <w:rPr>
          <w:rFonts w:ascii="Arial" w:eastAsia="Arial" w:hAnsi="Arial" w:cs="Arial"/>
        </w:rPr>
      </w:pPr>
      <w:r w:rsidRPr="001B3EA8">
        <w:rPr>
          <w:rFonts w:ascii="Arial" w:eastAsia="Arial" w:hAnsi="Arial" w:cs="Arial"/>
          <w:color w:val="000000"/>
        </w:rPr>
        <w:t>Change of use into a wheelchair accessible HMO (Use Class C4) and amendment to fenestration</w:t>
      </w:r>
      <w:r w:rsidR="006E0B92">
        <w:rPr>
          <w:rFonts w:ascii="Arial" w:eastAsia="Arial" w:hAnsi="Arial" w:cs="Arial"/>
          <w:color w:val="000000"/>
        </w:rPr>
        <w:br/>
      </w:r>
      <w:r w:rsidR="008437AB">
        <w:rPr>
          <w:rFonts w:ascii="Arial" w:eastAsia="Arial" w:hAnsi="Arial" w:cs="Arial"/>
          <w:color w:val="000000"/>
        </w:rPr>
        <w:br/>
      </w:r>
      <w:r w:rsidR="003564DE">
        <w:rPr>
          <w:rFonts w:ascii="Arial" w:eastAsia="Arial" w:hAnsi="Arial" w:cs="Arial"/>
          <w:b/>
        </w:rPr>
        <w:t>Appeal Site:</w:t>
      </w:r>
    </w:p>
    <w:p w14:paraId="5044E051" w14:textId="64673698" w:rsidR="00017EA9" w:rsidRDefault="006E0B92" w:rsidP="004D593D">
      <w:pPr>
        <w:tabs>
          <w:tab w:val="left" w:pos="3765"/>
        </w:tabs>
        <w:jc w:val="center"/>
        <w:rPr>
          <w:rFonts w:eastAsia="Arial" w:cs="Arial"/>
          <w:lang w:eastAsia="en-GB"/>
        </w:rPr>
      </w:pPr>
      <w:r>
        <w:rPr>
          <w:rFonts w:eastAsia="Arial" w:cs="Arial"/>
          <w:lang w:eastAsia="en-GB"/>
        </w:rPr>
        <w:t>5</w:t>
      </w:r>
      <w:r w:rsidR="001B3EA8">
        <w:rPr>
          <w:rFonts w:eastAsia="Arial" w:cs="Arial"/>
          <w:lang w:eastAsia="en-GB"/>
        </w:rPr>
        <w:t xml:space="preserve"> Gerrard Gardens</w:t>
      </w:r>
    </w:p>
    <w:p w14:paraId="135AE4CA" w14:textId="77777777" w:rsidR="001B3EA8" w:rsidRDefault="001B3EA8" w:rsidP="004D593D">
      <w:pPr>
        <w:tabs>
          <w:tab w:val="left" w:pos="3765"/>
        </w:tabs>
        <w:jc w:val="center"/>
      </w:pPr>
    </w:p>
    <w:p w14:paraId="7D5E66ED" w14:textId="77777777" w:rsidR="00017EA9" w:rsidRDefault="00017EA9" w:rsidP="00017EA9">
      <w:pPr>
        <w:tabs>
          <w:tab w:val="left" w:pos="3765"/>
        </w:tabs>
      </w:pPr>
    </w:p>
    <w:p w14:paraId="299F9AB2" w14:textId="77777777" w:rsidR="00017EA9" w:rsidRDefault="00017EA9" w:rsidP="00017EA9">
      <w:pPr>
        <w:tabs>
          <w:tab w:val="left" w:pos="3765"/>
        </w:tabs>
      </w:pPr>
    </w:p>
    <w:p w14:paraId="6AFE573C" w14:textId="77777777" w:rsidR="00017EA9" w:rsidRDefault="00017EA9" w:rsidP="00017EA9">
      <w:pPr>
        <w:tabs>
          <w:tab w:val="left" w:pos="3765"/>
        </w:tabs>
      </w:pPr>
    </w:p>
    <w:p w14:paraId="3A6577F5" w14:textId="77777777" w:rsidR="00017EA9" w:rsidRDefault="00017EA9" w:rsidP="00017EA9">
      <w:pPr>
        <w:tabs>
          <w:tab w:val="left" w:pos="3765"/>
        </w:tabs>
      </w:pPr>
    </w:p>
    <w:p w14:paraId="61B7BFDA" w14:textId="77777777" w:rsidR="00017EA9" w:rsidRDefault="00017EA9" w:rsidP="00017EA9">
      <w:pPr>
        <w:tabs>
          <w:tab w:val="left" w:pos="3765"/>
        </w:tabs>
      </w:pPr>
    </w:p>
    <w:p w14:paraId="614803D5" w14:textId="77777777" w:rsidR="00C31FBF" w:rsidRDefault="00C31FBF" w:rsidP="00017EA9">
      <w:pPr>
        <w:tabs>
          <w:tab w:val="left" w:pos="3765"/>
        </w:tabs>
      </w:pPr>
    </w:p>
    <w:p w14:paraId="22C7E2F7" w14:textId="77777777" w:rsidR="00C31FBF" w:rsidRDefault="00C31FBF" w:rsidP="00017EA9">
      <w:pPr>
        <w:tabs>
          <w:tab w:val="left" w:pos="3765"/>
        </w:tabs>
      </w:pPr>
    </w:p>
    <w:p w14:paraId="695AD660" w14:textId="77777777" w:rsidR="00C31FBF" w:rsidRDefault="00C31FBF" w:rsidP="00017EA9">
      <w:pPr>
        <w:tabs>
          <w:tab w:val="left" w:pos="3765"/>
        </w:tabs>
      </w:pPr>
    </w:p>
    <w:p w14:paraId="7D736FD3" w14:textId="77777777" w:rsidR="006E0B92" w:rsidRDefault="006E0B92" w:rsidP="00017EA9">
      <w:pPr>
        <w:tabs>
          <w:tab w:val="left" w:pos="3765"/>
        </w:tabs>
      </w:pPr>
    </w:p>
    <w:p w14:paraId="5CDF0700" w14:textId="77777777" w:rsidR="00C31FBF" w:rsidRDefault="00C31FBF" w:rsidP="00017EA9">
      <w:pPr>
        <w:tabs>
          <w:tab w:val="left" w:pos="3765"/>
        </w:tabs>
      </w:pPr>
    </w:p>
    <w:p w14:paraId="42AB777C" w14:textId="77777777" w:rsidR="00C31FBF" w:rsidRPr="00E94268" w:rsidRDefault="00C31FBF" w:rsidP="00C3468A">
      <w:pPr>
        <w:tabs>
          <w:tab w:val="left" w:pos="567"/>
        </w:tabs>
        <w:autoSpaceDE w:val="0"/>
        <w:autoSpaceDN w:val="0"/>
        <w:adjustRightInd w:val="0"/>
        <w:rPr>
          <w:rFonts w:cs="Arial"/>
          <w:b/>
          <w:bCs/>
          <w:sz w:val="32"/>
          <w:szCs w:val="32"/>
          <w:lang w:eastAsia="en-GB"/>
        </w:rPr>
      </w:pPr>
      <w:r w:rsidRPr="00E94268">
        <w:rPr>
          <w:rFonts w:cs="Arial"/>
          <w:b/>
          <w:bCs/>
          <w:sz w:val="32"/>
          <w:szCs w:val="32"/>
          <w:lang w:eastAsia="en-GB"/>
        </w:rPr>
        <w:lastRenderedPageBreak/>
        <w:t xml:space="preserve">1. </w:t>
      </w:r>
      <w:r w:rsidR="008664D4" w:rsidRPr="00E94268">
        <w:rPr>
          <w:rFonts w:cs="Arial"/>
          <w:b/>
          <w:bCs/>
          <w:sz w:val="32"/>
          <w:szCs w:val="32"/>
          <w:lang w:eastAsia="en-GB"/>
        </w:rPr>
        <w:tab/>
      </w:r>
      <w:r w:rsidRPr="00E94268">
        <w:rPr>
          <w:rFonts w:cs="Arial"/>
          <w:b/>
          <w:bCs/>
          <w:sz w:val="32"/>
          <w:szCs w:val="32"/>
          <w:lang w:eastAsia="en-GB"/>
        </w:rPr>
        <w:t>Introduction</w:t>
      </w:r>
    </w:p>
    <w:p w14:paraId="4713BAF8" w14:textId="77777777" w:rsidR="00C31FBF" w:rsidRPr="00C76C55" w:rsidRDefault="00C31FBF" w:rsidP="00C3468A">
      <w:pPr>
        <w:autoSpaceDE w:val="0"/>
        <w:autoSpaceDN w:val="0"/>
        <w:adjustRightInd w:val="0"/>
        <w:rPr>
          <w:rFonts w:cs="Arial"/>
          <w:b/>
          <w:bCs/>
          <w:lang w:eastAsia="en-GB"/>
        </w:rPr>
      </w:pPr>
    </w:p>
    <w:p w14:paraId="0EC4D62E" w14:textId="203E1F66" w:rsidR="00C31FBF" w:rsidRPr="001023CC" w:rsidRDefault="00C31FBF" w:rsidP="00C3468A">
      <w:pPr>
        <w:tabs>
          <w:tab w:val="left" w:pos="567"/>
        </w:tabs>
        <w:autoSpaceDE w:val="0"/>
        <w:autoSpaceDN w:val="0"/>
        <w:adjustRightInd w:val="0"/>
        <w:ind w:left="567" w:hanging="567"/>
        <w:rPr>
          <w:rFonts w:cs="Arial"/>
          <w:lang w:eastAsia="en-GB"/>
        </w:rPr>
      </w:pPr>
      <w:r w:rsidRPr="001023CC">
        <w:rPr>
          <w:rFonts w:cs="Arial"/>
          <w:lang w:eastAsia="en-GB"/>
        </w:rPr>
        <w:t xml:space="preserve">1.1 </w:t>
      </w:r>
      <w:r w:rsidR="008664D4" w:rsidRPr="001023CC">
        <w:rPr>
          <w:rFonts w:cs="Arial"/>
          <w:lang w:eastAsia="en-GB"/>
        </w:rPr>
        <w:tab/>
      </w:r>
      <w:r w:rsidRPr="001023CC">
        <w:rPr>
          <w:rFonts w:cs="Arial"/>
          <w:lang w:eastAsia="en-GB"/>
        </w:rPr>
        <w:t xml:space="preserve">This </w:t>
      </w:r>
      <w:r w:rsidR="00A12FAD" w:rsidRPr="001023CC">
        <w:rPr>
          <w:rFonts w:cs="Arial"/>
          <w:lang w:eastAsia="en-GB"/>
        </w:rPr>
        <w:t>appeal s</w:t>
      </w:r>
      <w:r w:rsidRPr="001023CC">
        <w:rPr>
          <w:rFonts w:cs="Arial"/>
          <w:lang w:eastAsia="en-GB"/>
        </w:rPr>
        <w:t xml:space="preserve">tatement is submitted by the </w:t>
      </w:r>
      <w:r w:rsidR="008664D4" w:rsidRPr="001023CC">
        <w:rPr>
          <w:rFonts w:cs="Arial"/>
          <w:lang w:eastAsia="en-GB"/>
        </w:rPr>
        <w:t>London Borough of Hillingdon</w:t>
      </w:r>
      <w:r w:rsidR="00C76C55" w:rsidRPr="001023CC">
        <w:rPr>
          <w:rFonts w:cs="Arial"/>
          <w:lang w:eastAsia="en-GB"/>
        </w:rPr>
        <w:t>,</w:t>
      </w:r>
      <w:r w:rsidR="00A12FAD" w:rsidRPr="001023CC">
        <w:rPr>
          <w:rFonts w:cs="Arial"/>
          <w:lang w:eastAsia="en-GB"/>
        </w:rPr>
        <w:t xml:space="preserve"> as</w:t>
      </w:r>
      <w:r w:rsidR="008664D4" w:rsidRPr="001023CC">
        <w:rPr>
          <w:rFonts w:cs="Arial"/>
          <w:lang w:eastAsia="en-GB"/>
        </w:rPr>
        <w:t xml:space="preserve"> the Local Planning Authority (LPA)</w:t>
      </w:r>
      <w:r w:rsidR="00C76C55" w:rsidRPr="001023CC">
        <w:rPr>
          <w:rFonts w:cs="Arial"/>
          <w:lang w:eastAsia="en-GB"/>
        </w:rPr>
        <w:t>,</w:t>
      </w:r>
      <w:r w:rsidR="008664D4" w:rsidRPr="001023CC">
        <w:rPr>
          <w:rFonts w:cs="Arial"/>
          <w:lang w:eastAsia="en-GB"/>
        </w:rPr>
        <w:t xml:space="preserve"> </w:t>
      </w:r>
      <w:r w:rsidRPr="001023CC">
        <w:rPr>
          <w:rFonts w:cs="Arial"/>
          <w:lang w:eastAsia="en-GB"/>
        </w:rPr>
        <w:t>in r</w:t>
      </w:r>
      <w:r w:rsidR="008664D4" w:rsidRPr="001023CC">
        <w:rPr>
          <w:rFonts w:cs="Arial"/>
          <w:lang w:eastAsia="en-GB"/>
        </w:rPr>
        <w:t xml:space="preserve">espect of the appeal against its </w:t>
      </w:r>
      <w:r w:rsidRPr="001023CC">
        <w:rPr>
          <w:rFonts w:cs="Arial"/>
          <w:lang w:eastAsia="en-GB"/>
        </w:rPr>
        <w:t>refusal to gran</w:t>
      </w:r>
      <w:r w:rsidR="001023CC" w:rsidRPr="001023CC">
        <w:rPr>
          <w:rFonts w:cs="Arial"/>
          <w:lang w:eastAsia="en-GB"/>
        </w:rPr>
        <w:t xml:space="preserve">t planning application reference </w:t>
      </w:r>
      <w:r w:rsidR="001B3EA8" w:rsidRPr="001B3EA8">
        <w:rPr>
          <w:rFonts w:cs="Arial"/>
          <w:lang w:eastAsia="en-GB"/>
        </w:rPr>
        <w:t>157/APP/2026/147</w:t>
      </w:r>
      <w:r w:rsidR="001023CC" w:rsidRPr="001023CC">
        <w:rPr>
          <w:rFonts w:cs="Arial"/>
          <w:lang w:eastAsia="en-GB"/>
        </w:rPr>
        <w:t xml:space="preserve">, for </w:t>
      </w:r>
      <w:r w:rsidR="008D241E">
        <w:rPr>
          <w:rFonts w:cs="Arial"/>
          <w:lang w:eastAsia="en-GB"/>
        </w:rPr>
        <w:t xml:space="preserve">the </w:t>
      </w:r>
      <w:r w:rsidR="001B3EA8">
        <w:rPr>
          <w:rFonts w:cs="Arial"/>
          <w:lang w:eastAsia="en-GB"/>
        </w:rPr>
        <w:t>c</w:t>
      </w:r>
      <w:r w:rsidR="001B3EA8" w:rsidRPr="001B3EA8">
        <w:rPr>
          <w:rFonts w:cs="Arial"/>
          <w:lang w:eastAsia="en-GB"/>
        </w:rPr>
        <w:t>hange of use into a wheelchair accessible HMO (Use Class C4) and amendment to fenestration</w:t>
      </w:r>
      <w:r w:rsidR="007B32E7">
        <w:rPr>
          <w:rFonts w:cs="Arial"/>
          <w:lang w:eastAsia="en-GB"/>
        </w:rPr>
        <w:br/>
      </w:r>
    </w:p>
    <w:p w14:paraId="30595344" w14:textId="156E78DD" w:rsidR="00C31FBF" w:rsidRPr="001023CC" w:rsidRDefault="00C31FBF" w:rsidP="00C3468A">
      <w:pPr>
        <w:tabs>
          <w:tab w:val="left" w:pos="567"/>
        </w:tabs>
        <w:autoSpaceDE w:val="0"/>
        <w:autoSpaceDN w:val="0"/>
        <w:adjustRightInd w:val="0"/>
        <w:ind w:left="567" w:hanging="567"/>
        <w:rPr>
          <w:rFonts w:cs="Arial"/>
          <w:lang w:eastAsia="en-GB"/>
        </w:rPr>
      </w:pPr>
      <w:r w:rsidRPr="001023CC">
        <w:rPr>
          <w:rFonts w:cs="Arial"/>
          <w:lang w:eastAsia="en-GB"/>
        </w:rPr>
        <w:t xml:space="preserve">1.2 </w:t>
      </w:r>
      <w:r w:rsidR="008664D4" w:rsidRPr="001023CC">
        <w:rPr>
          <w:rFonts w:cs="Arial"/>
          <w:lang w:eastAsia="en-GB"/>
        </w:rPr>
        <w:tab/>
      </w:r>
      <w:r w:rsidRPr="001023CC">
        <w:rPr>
          <w:rFonts w:cs="Arial"/>
          <w:lang w:eastAsia="en-GB"/>
        </w:rPr>
        <w:t xml:space="preserve">The LPA refused planning permission on </w:t>
      </w:r>
      <w:r w:rsidR="001B3EA8" w:rsidRPr="001B3EA8">
        <w:rPr>
          <w:rFonts w:cs="Arial"/>
          <w:lang w:eastAsia="en-GB"/>
        </w:rPr>
        <w:t>20-05-26</w:t>
      </w:r>
      <w:r w:rsidR="001B3EA8">
        <w:rPr>
          <w:rFonts w:cs="Arial"/>
          <w:lang w:eastAsia="en-GB"/>
        </w:rPr>
        <w:t xml:space="preserve"> </w:t>
      </w:r>
      <w:r w:rsidRPr="001023CC">
        <w:rPr>
          <w:rFonts w:cs="Arial"/>
          <w:lang w:eastAsia="en-GB"/>
        </w:rPr>
        <w:t>for the following reason</w:t>
      </w:r>
      <w:r w:rsidR="004437A5">
        <w:rPr>
          <w:rFonts w:cs="Arial"/>
          <w:lang w:eastAsia="en-GB"/>
        </w:rPr>
        <w:t>s</w:t>
      </w:r>
      <w:r w:rsidRPr="001023CC">
        <w:rPr>
          <w:rFonts w:cs="Arial"/>
          <w:lang w:eastAsia="en-GB"/>
        </w:rPr>
        <w:t xml:space="preserve"> (as stated on the decision notice):</w:t>
      </w:r>
    </w:p>
    <w:p w14:paraId="6DDC2627" w14:textId="77777777" w:rsidR="00C31FBF" w:rsidRPr="001023CC" w:rsidRDefault="00C31FBF" w:rsidP="00C3468A">
      <w:pPr>
        <w:autoSpaceDE w:val="0"/>
        <w:autoSpaceDN w:val="0"/>
        <w:adjustRightInd w:val="0"/>
        <w:rPr>
          <w:rFonts w:cs="Arial"/>
          <w:lang w:eastAsia="en-GB"/>
        </w:rPr>
      </w:pPr>
    </w:p>
    <w:p w14:paraId="36FB661F" w14:textId="416D986F" w:rsidR="008D241E" w:rsidRDefault="002B480E" w:rsidP="00547B6B">
      <w:pPr>
        <w:numPr>
          <w:ilvl w:val="2"/>
          <w:numId w:val="29"/>
        </w:numPr>
        <w:autoSpaceDE w:val="0"/>
        <w:autoSpaceDN w:val="0"/>
        <w:adjustRightInd w:val="0"/>
        <w:rPr>
          <w:rFonts w:cs="Arial"/>
          <w:lang w:eastAsia="en-GB"/>
        </w:rPr>
      </w:pPr>
      <w:r w:rsidRPr="002B480E">
        <w:rPr>
          <w:rFonts w:cs="Arial"/>
          <w:lang w:eastAsia="en-GB"/>
        </w:rPr>
        <w:t>The proposed development, by reason of the change of use of the property from a self-contained dwellinghouse to a 4-bedroom wheelchair accessible HMO within Use Class C4, would result in the loss of a dwelling capable of family occupation and has failed to demonstrate that this loss would be justified having regard to the Council's adopted housing mix objectives. The proposed HMO would also fail to demonstrate compliance with the Council's adopted policy framework for HMOs, having regard to substandard living conditions. The proposal would therefore represent an unacceptable and over-intensive form of HMO accommodation in this location, contrary to Policies DMH 2 and DMH 5 of the Hillingdon Local Plan: Part Two (2020), Policies H9 and H10 of the London Plan (2021), and the objectives of the National Planning Policy Framework (2024).</w:t>
      </w:r>
      <w:r w:rsidR="008D241E">
        <w:rPr>
          <w:rFonts w:cs="Arial"/>
          <w:lang w:eastAsia="en-GB"/>
        </w:rPr>
        <w:br/>
      </w:r>
    </w:p>
    <w:p w14:paraId="31B086D4" w14:textId="46A43CF8" w:rsidR="00C31FBF" w:rsidRPr="00C6236C" w:rsidRDefault="002B480E" w:rsidP="00547B6B">
      <w:pPr>
        <w:numPr>
          <w:ilvl w:val="2"/>
          <w:numId w:val="29"/>
        </w:numPr>
        <w:autoSpaceDE w:val="0"/>
        <w:autoSpaceDN w:val="0"/>
        <w:adjustRightInd w:val="0"/>
        <w:rPr>
          <w:rFonts w:cs="Arial"/>
          <w:lang w:eastAsia="en-GB"/>
        </w:rPr>
      </w:pPr>
      <w:r w:rsidRPr="002B480E">
        <w:rPr>
          <w:rFonts w:cs="Arial"/>
          <w:lang w:eastAsia="en-GB"/>
        </w:rPr>
        <w:t>The proposed development, by reason of its constrained internal layout, absence of a separate communal living/dining room, limited shared kitchen provision, and poor relationship between Bedrooms 3 and 4 and the shared rear garden, would fail to provide satisfactory living conditions for future occupiers. In the absence of adequate internal communal accommodation, the rear garden would be likely to function as the principal communal/social space, resulting in unacceptable overlooking, loss of privacy, noise and disturbance to the occupiers of Bedrooms 3 and 4. The proposal would therefore provide a substandard form of accommodation and fail to deliver a high-quality residential environment, contrary to Policies DMH 5, DMHB 11 and DMHB 16 of the Hillingdon Local Plan: Part Two - Development Management Policies (2020), Policy D6 of the London Plan (2021), and Paragraph 135(f) of the National Planning Policy Framework (2024).</w:t>
      </w:r>
      <w:r w:rsidR="001023CC" w:rsidRPr="00C6236C">
        <w:rPr>
          <w:rFonts w:cs="Arial"/>
          <w:lang w:eastAsia="en-GB"/>
        </w:rPr>
        <w:br/>
      </w:r>
    </w:p>
    <w:p w14:paraId="5C3132C7" w14:textId="77777777" w:rsidR="00A12FAD" w:rsidRPr="009F62C7" w:rsidRDefault="00A12FAD" w:rsidP="00C3468A">
      <w:pPr>
        <w:tabs>
          <w:tab w:val="left" w:pos="567"/>
        </w:tabs>
        <w:autoSpaceDE w:val="0"/>
        <w:autoSpaceDN w:val="0"/>
        <w:adjustRightInd w:val="0"/>
        <w:ind w:left="567" w:hanging="567"/>
        <w:rPr>
          <w:rFonts w:cs="Arial"/>
          <w:highlight w:val="yellow"/>
          <w:lang w:eastAsia="en-GB"/>
        </w:rPr>
      </w:pPr>
      <w:r w:rsidRPr="009F62C7">
        <w:rPr>
          <w:rFonts w:cs="Arial"/>
          <w:lang w:eastAsia="en-GB"/>
        </w:rPr>
        <w:t xml:space="preserve">1.3 </w:t>
      </w:r>
      <w:r w:rsidRPr="009F62C7">
        <w:rPr>
          <w:rFonts w:cs="Arial"/>
          <w:lang w:eastAsia="en-GB"/>
        </w:rPr>
        <w:tab/>
      </w:r>
      <w:r w:rsidR="00266737" w:rsidRPr="009F62C7">
        <w:rPr>
          <w:rFonts w:cs="Arial"/>
          <w:lang w:eastAsia="en-GB"/>
        </w:rPr>
        <w:t xml:space="preserve">The LPA’s case is set out in the Planning Officer’s delegated report, which should be read in conjunction with this statement. Appendix 1 contains a list of recommended conditions, should the inspector be minded </w:t>
      </w:r>
      <w:proofErr w:type="gramStart"/>
      <w:r w:rsidR="00266737" w:rsidRPr="009F62C7">
        <w:rPr>
          <w:rFonts w:cs="Arial"/>
          <w:lang w:eastAsia="en-GB"/>
        </w:rPr>
        <w:t>to allow</w:t>
      </w:r>
      <w:proofErr w:type="gramEnd"/>
      <w:r w:rsidR="00266737" w:rsidRPr="009F62C7">
        <w:rPr>
          <w:rFonts w:cs="Arial"/>
          <w:lang w:eastAsia="en-GB"/>
        </w:rPr>
        <w:t xml:space="preserve"> this appeal.</w:t>
      </w:r>
    </w:p>
    <w:p w14:paraId="6675EC3C" w14:textId="77777777" w:rsidR="00A12FAD" w:rsidRPr="009F62C7" w:rsidRDefault="00A12FAD" w:rsidP="00C3468A">
      <w:pPr>
        <w:tabs>
          <w:tab w:val="left" w:pos="567"/>
        </w:tabs>
        <w:autoSpaceDE w:val="0"/>
        <w:autoSpaceDN w:val="0"/>
        <w:adjustRightInd w:val="0"/>
        <w:ind w:left="567" w:hanging="567"/>
        <w:rPr>
          <w:rFonts w:cs="Arial"/>
          <w:highlight w:val="yellow"/>
          <w:lang w:eastAsia="en-GB"/>
        </w:rPr>
      </w:pPr>
    </w:p>
    <w:p w14:paraId="54F4A1DF" w14:textId="77777777" w:rsidR="00A12FAD" w:rsidRPr="009F62C7" w:rsidRDefault="00A12FAD" w:rsidP="00C3468A">
      <w:pPr>
        <w:tabs>
          <w:tab w:val="left" w:pos="567"/>
        </w:tabs>
        <w:autoSpaceDE w:val="0"/>
        <w:autoSpaceDN w:val="0"/>
        <w:adjustRightInd w:val="0"/>
        <w:ind w:left="567" w:hanging="567"/>
        <w:rPr>
          <w:rFonts w:cs="Arial"/>
          <w:lang w:eastAsia="en-GB"/>
        </w:rPr>
      </w:pPr>
      <w:r w:rsidRPr="009F62C7">
        <w:rPr>
          <w:rFonts w:cs="Arial"/>
          <w:lang w:eastAsia="en-GB"/>
        </w:rPr>
        <w:t>1.4</w:t>
      </w:r>
      <w:r w:rsidRPr="009F62C7">
        <w:rPr>
          <w:rFonts w:cs="Arial"/>
          <w:lang w:eastAsia="en-GB"/>
        </w:rPr>
        <w:tab/>
        <w:t>This statement will</w:t>
      </w:r>
      <w:r w:rsidR="005B3CE2" w:rsidRPr="009F62C7">
        <w:rPr>
          <w:rFonts w:cs="Arial"/>
          <w:lang w:eastAsia="en-GB"/>
        </w:rPr>
        <w:t xml:space="preserve"> not repeat the </w:t>
      </w:r>
      <w:r w:rsidR="00C76C55" w:rsidRPr="009F62C7">
        <w:rPr>
          <w:rFonts w:cs="Arial"/>
          <w:lang w:eastAsia="en-GB"/>
        </w:rPr>
        <w:t>d</w:t>
      </w:r>
      <w:r w:rsidR="005B3CE2" w:rsidRPr="009F62C7">
        <w:rPr>
          <w:rFonts w:cs="Arial"/>
          <w:lang w:eastAsia="en-GB"/>
        </w:rPr>
        <w:t xml:space="preserve">elegated </w:t>
      </w:r>
      <w:r w:rsidR="00C76C55" w:rsidRPr="009F62C7">
        <w:rPr>
          <w:rFonts w:cs="Arial"/>
          <w:lang w:eastAsia="en-GB"/>
        </w:rPr>
        <w:t>r</w:t>
      </w:r>
      <w:r w:rsidR="005B3CE2" w:rsidRPr="009F62C7">
        <w:rPr>
          <w:rFonts w:cs="Arial"/>
          <w:lang w:eastAsia="en-GB"/>
        </w:rPr>
        <w:t>eport and will</w:t>
      </w:r>
      <w:r w:rsidRPr="009F62C7">
        <w:rPr>
          <w:rFonts w:cs="Arial"/>
          <w:lang w:eastAsia="en-GB"/>
        </w:rPr>
        <w:t xml:space="preserve"> focus on addressing matters raised in the Appellant’s statement of case</w:t>
      </w:r>
      <w:r w:rsidR="00A701BD" w:rsidRPr="009F62C7">
        <w:rPr>
          <w:rFonts w:cs="Arial"/>
          <w:lang w:eastAsia="en-GB"/>
        </w:rPr>
        <w:t>.</w:t>
      </w:r>
    </w:p>
    <w:p w14:paraId="48BB6615" w14:textId="77777777" w:rsidR="00A12FAD" w:rsidRPr="009F62C7" w:rsidRDefault="00A12FAD" w:rsidP="00C3468A">
      <w:pPr>
        <w:tabs>
          <w:tab w:val="left" w:pos="567"/>
        </w:tabs>
        <w:autoSpaceDE w:val="0"/>
        <w:autoSpaceDN w:val="0"/>
        <w:adjustRightInd w:val="0"/>
        <w:rPr>
          <w:rFonts w:cs="Arial"/>
          <w:lang w:eastAsia="en-GB"/>
        </w:rPr>
      </w:pPr>
    </w:p>
    <w:p w14:paraId="5847FC4F" w14:textId="77777777" w:rsidR="00A12FAD" w:rsidRPr="00E94268" w:rsidRDefault="00A12FAD" w:rsidP="00C3468A">
      <w:pPr>
        <w:tabs>
          <w:tab w:val="left" w:pos="567"/>
          <w:tab w:val="left" w:pos="3765"/>
        </w:tabs>
        <w:rPr>
          <w:rFonts w:cs="Arial"/>
          <w:b/>
          <w:bCs/>
          <w:sz w:val="32"/>
          <w:szCs w:val="32"/>
          <w:lang w:eastAsia="en-GB"/>
        </w:rPr>
      </w:pPr>
      <w:r w:rsidRPr="00E94268">
        <w:rPr>
          <w:rFonts w:cs="Arial"/>
          <w:b/>
          <w:bCs/>
          <w:sz w:val="32"/>
          <w:szCs w:val="32"/>
          <w:lang w:eastAsia="en-GB"/>
        </w:rPr>
        <w:t>2.</w:t>
      </w:r>
      <w:r w:rsidRPr="00E94268">
        <w:rPr>
          <w:rFonts w:cs="Arial"/>
          <w:b/>
          <w:bCs/>
          <w:sz w:val="32"/>
          <w:szCs w:val="32"/>
          <w:lang w:eastAsia="en-GB"/>
        </w:rPr>
        <w:tab/>
      </w:r>
      <w:r w:rsidR="005B3CE2" w:rsidRPr="00E94268">
        <w:rPr>
          <w:rFonts w:cs="Arial"/>
          <w:b/>
          <w:bCs/>
          <w:sz w:val="32"/>
          <w:szCs w:val="32"/>
          <w:lang w:eastAsia="en-GB"/>
        </w:rPr>
        <w:t xml:space="preserve">LPA </w:t>
      </w:r>
      <w:r w:rsidRPr="00E94268">
        <w:rPr>
          <w:rFonts w:cs="Arial"/>
          <w:b/>
          <w:bCs/>
          <w:sz w:val="32"/>
          <w:szCs w:val="32"/>
          <w:lang w:eastAsia="en-GB"/>
        </w:rPr>
        <w:t xml:space="preserve">Comments on Appellant’s Statement </w:t>
      </w:r>
      <w:r w:rsidR="00A6402D" w:rsidRPr="00E94268">
        <w:rPr>
          <w:rFonts w:cs="Arial"/>
          <w:b/>
          <w:bCs/>
          <w:sz w:val="32"/>
          <w:szCs w:val="32"/>
          <w:lang w:eastAsia="en-GB"/>
        </w:rPr>
        <w:t>of Case</w:t>
      </w:r>
    </w:p>
    <w:p w14:paraId="5CA743E1" w14:textId="77777777" w:rsidR="00A12FAD" w:rsidRPr="006C1EB4" w:rsidRDefault="00A12FAD" w:rsidP="00C3468A">
      <w:pPr>
        <w:tabs>
          <w:tab w:val="left" w:pos="567"/>
          <w:tab w:val="left" w:pos="3765"/>
        </w:tabs>
        <w:rPr>
          <w:rFonts w:cs="Arial"/>
          <w:b/>
          <w:bCs/>
          <w:lang w:eastAsia="en-GB"/>
        </w:rPr>
      </w:pPr>
    </w:p>
    <w:p w14:paraId="17E3FF22" w14:textId="77777777" w:rsidR="00A701BD" w:rsidRPr="006C1EB4" w:rsidRDefault="005B3CE2" w:rsidP="00C3468A">
      <w:pPr>
        <w:tabs>
          <w:tab w:val="left" w:pos="567"/>
          <w:tab w:val="left" w:pos="3765"/>
        </w:tabs>
        <w:ind w:left="567" w:hanging="567"/>
        <w:rPr>
          <w:rFonts w:cs="Arial"/>
          <w:lang w:eastAsia="en-GB"/>
        </w:rPr>
      </w:pPr>
      <w:r w:rsidRPr="006C1EB4">
        <w:rPr>
          <w:rFonts w:cs="Arial"/>
          <w:lang w:eastAsia="en-GB"/>
        </w:rPr>
        <w:t>2.1</w:t>
      </w:r>
      <w:r w:rsidRPr="006C1EB4">
        <w:rPr>
          <w:rFonts w:cs="Arial"/>
          <w:lang w:eastAsia="en-GB"/>
        </w:rPr>
        <w:tab/>
      </w:r>
      <w:r w:rsidR="00A701BD" w:rsidRPr="006C1EB4">
        <w:rPr>
          <w:rFonts w:cs="Arial"/>
          <w:lang w:eastAsia="en-GB"/>
        </w:rPr>
        <w:t>Within their statement of case the appellant has raised the following summarised points:</w:t>
      </w:r>
    </w:p>
    <w:p w14:paraId="20BF8083" w14:textId="77777777" w:rsidR="00A701BD" w:rsidRPr="006C1EB4" w:rsidRDefault="00A701BD" w:rsidP="00C3468A">
      <w:pPr>
        <w:tabs>
          <w:tab w:val="left" w:pos="567"/>
          <w:tab w:val="left" w:pos="3765"/>
        </w:tabs>
        <w:ind w:left="567" w:hanging="567"/>
        <w:rPr>
          <w:rFonts w:cs="Arial"/>
          <w:lang w:eastAsia="en-GB"/>
        </w:rPr>
      </w:pPr>
    </w:p>
    <w:p w14:paraId="308F0092" w14:textId="77777777" w:rsidR="00F6157A" w:rsidRPr="00F6157A" w:rsidRDefault="00F6157A" w:rsidP="00F6157A">
      <w:pPr>
        <w:pStyle w:val="ListParagraph"/>
        <w:numPr>
          <w:ilvl w:val="0"/>
          <w:numId w:val="32"/>
        </w:numPr>
        <w:tabs>
          <w:tab w:val="left" w:pos="567"/>
          <w:tab w:val="left" w:pos="3765"/>
        </w:tabs>
        <w:spacing w:line="276" w:lineRule="auto"/>
        <w:rPr>
          <w:rFonts w:cs="Arial"/>
          <w:lang w:eastAsia="en-GB"/>
        </w:rPr>
      </w:pPr>
      <w:r w:rsidRPr="00F6157A">
        <w:rPr>
          <w:rFonts w:cs="Arial"/>
          <w:lang w:eastAsia="en-GB"/>
        </w:rPr>
        <w:lastRenderedPageBreak/>
        <w:t>the proposal would provide specialist wheelchair-accessible accommodation that meets an identified housing need;</w:t>
      </w:r>
    </w:p>
    <w:p w14:paraId="7915B1E2" w14:textId="77777777" w:rsidR="00F6157A" w:rsidRPr="00F6157A" w:rsidRDefault="00F6157A" w:rsidP="00F6157A">
      <w:pPr>
        <w:pStyle w:val="ListParagraph"/>
        <w:numPr>
          <w:ilvl w:val="0"/>
          <w:numId w:val="32"/>
        </w:numPr>
        <w:tabs>
          <w:tab w:val="left" w:pos="567"/>
          <w:tab w:val="left" w:pos="3765"/>
        </w:tabs>
        <w:spacing w:line="276" w:lineRule="auto"/>
        <w:rPr>
          <w:rFonts w:cs="Arial"/>
          <w:lang w:eastAsia="en-GB"/>
        </w:rPr>
      </w:pPr>
      <w:r w:rsidRPr="00F6157A">
        <w:rPr>
          <w:rFonts w:cs="Arial"/>
          <w:lang w:eastAsia="en-GB"/>
        </w:rPr>
        <w:t>the Council has placed disproportionate weight on the loss of a family dwelling and insufficient weight on the benefits of accessible housing;</w:t>
      </w:r>
    </w:p>
    <w:p w14:paraId="50562AEE" w14:textId="77777777" w:rsidR="00F6157A" w:rsidRPr="00F6157A" w:rsidRDefault="00F6157A" w:rsidP="00F6157A">
      <w:pPr>
        <w:pStyle w:val="ListParagraph"/>
        <w:numPr>
          <w:ilvl w:val="0"/>
          <w:numId w:val="32"/>
        </w:numPr>
        <w:tabs>
          <w:tab w:val="left" w:pos="567"/>
          <w:tab w:val="left" w:pos="3765"/>
        </w:tabs>
        <w:spacing w:line="276" w:lineRule="auto"/>
        <w:rPr>
          <w:rFonts w:cs="Arial"/>
          <w:lang w:eastAsia="en-GB"/>
        </w:rPr>
      </w:pPr>
      <w:r w:rsidRPr="00F6157A">
        <w:rPr>
          <w:rFonts w:cs="Arial"/>
          <w:lang w:eastAsia="en-GB"/>
        </w:rPr>
        <w:t>the property would remain in residential use and continue to contribute towards housing supply;</w:t>
      </w:r>
    </w:p>
    <w:p w14:paraId="14B9C1CF" w14:textId="77777777" w:rsidR="00F6157A" w:rsidRPr="00F6157A" w:rsidRDefault="00F6157A" w:rsidP="00F6157A">
      <w:pPr>
        <w:pStyle w:val="ListParagraph"/>
        <w:numPr>
          <w:ilvl w:val="0"/>
          <w:numId w:val="32"/>
        </w:numPr>
        <w:tabs>
          <w:tab w:val="left" w:pos="567"/>
          <w:tab w:val="left" w:pos="3765"/>
        </w:tabs>
        <w:spacing w:line="276" w:lineRule="auto"/>
        <w:rPr>
          <w:rFonts w:cs="Arial"/>
          <w:lang w:eastAsia="en-GB"/>
        </w:rPr>
      </w:pPr>
      <w:r w:rsidRPr="00F6157A">
        <w:rPr>
          <w:rFonts w:cs="Arial"/>
          <w:lang w:eastAsia="en-GB"/>
        </w:rPr>
        <w:t>the property could revert to a dwellinghouse without planning permission and therefore no permanent loss of family housing would arise;</w:t>
      </w:r>
    </w:p>
    <w:p w14:paraId="354CD168" w14:textId="77777777" w:rsidR="00F6157A" w:rsidRPr="00F6157A" w:rsidRDefault="00F6157A" w:rsidP="00F6157A">
      <w:pPr>
        <w:pStyle w:val="ListParagraph"/>
        <w:numPr>
          <w:ilvl w:val="0"/>
          <w:numId w:val="32"/>
        </w:numPr>
        <w:tabs>
          <w:tab w:val="left" w:pos="567"/>
          <w:tab w:val="left" w:pos="3765"/>
        </w:tabs>
        <w:spacing w:line="276" w:lineRule="auto"/>
        <w:rPr>
          <w:rFonts w:cs="Arial"/>
          <w:lang w:eastAsia="en-GB"/>
        </w:rPr>
      </w:pPr>
      <w:r w:rsidRPr="00F6157A">
        <w:rPr>
          <w:rFonts w:cs="Arial"/>
          <w:lang w:eastAsia="en-GB"/>
        </w:rPr>
        <w:t>the proposal would not result in an overconcentration of HMOs and is consistent with the objectives of Policy DMH 5;</w:t>
      </w:r>
    </w:p>
    <w:p w14:paraId="5F0A46E4" w14:textId="77777777" w:rsidR="00F6157A" w:rsidRPr="00F6157A" w:rsidRDefault="00F6157A" w:rsidP="00F6157A">
      <w:pPr>
        <w:pStyle w:val="ListParagraph"/>
        <w:numPr>
          <w:ilvl w:val="0"/>
          <w:numId w:val="32"/>
        </w:numPr>
        <w:tabs>
          <w:tab w:val="left" w:pos="567"/>
          <w:tab w:val="left" w:pos="3765"/>
        </w:tabs>
        <w:spacing w:line="276" w:lineRule="auto"/>
        <w:rPr>
          <w:rFonts w:cs="Arial"/>
          <w:lang w:eastAsia="en-GB"/>
        </w:rPr>
      </w:pPr>
      <w:r w:rsidRPr="00F6157A">
        <w:rPr>
          <w:rFonts w:cs="Arial"/>
          <w:lang w:eastAsia="en-GB"/>
        </w:rPr>
        <w:t>the proposed accommodation would provide satisfactory living conditions through large accessible bedrooms and shared facilities;</w:t>
      </w:r>
    </w:p>
    <w:p w14:paraId="284E76F1" w14:textId="77777777" w:rsidR="00F6157A" w:rsidRPr="00F6157A" w:rsidRDefault="00F6157A" w:rsidP="00F6157A">
      <w:pPr>
        <w:pStyle w:val="ListParagraph"/>
        <w:numPr>
          <w:ilvl w:val="0"/>
          <w:numId w:val="32"/>
        </w:numPr>
        <w:tabs>
          <w:tab w:val="left" w:pos="567"/>
          <w:tab w:val="left" w:pos="3765"/>
        </w:tabs>
        <w:spacing w:line="276" w:lineRule="auto"/>
        <w:rPr>
          <w:rFonts w:cs="Arial"/>
          <w:lang w:eastAsia="en-GB"/>
        </w:rPr>
      </w:pPr>
      <w:r w:rsidRPr="00F6157A">
        <w:rPr>
          <w:rFonts w:cs="Arial"/>
          <w:lang w:eastAsia="en-GB"/>
        </w:rPr>
        <w:t>the Council's concerns regarding communal space and the relationship between the bedrooms and garden are unsupported by evidence;</w:t>
      </w:r>
    </w:p>
    <w:p w14:paraId="6535B46B" w14:textId="77777777" w:rsidR="00F6157A" w:rsidRPr="00F6157A" w:rsidRDefault="00F6157A" w:rsidP="00F6157A">
      <w:pPr>
        <w:pStyle w:val="ListParagraph"/>
        <w:numPr>
          <w:ilvl w:val="0"/>
          <w:numId w:val="32"/>
        </w:numPr>
        <w:tabs>
          <w:tab w:val="left" w:pos="567"/>
          <w:tab w:val="left" w:pos="3765"/>
        </w:tabs>
        <w:spacing w:line="276" w:lineRule="auto"/>
        <w:rPr>
          <w:rFonts w:cs="Arial"/>
          <w:lang w:eastAsia="en-GB"/>
        </w:rPr>
      </w:pPr>
      <w:r w:rsidRPr="00F6157A">
        <w:rPr>
          <w:rFonts w:cs="Arial"/>
          <w:lang w:eastAsia="en-GB"/>
        </w:rPr>
        <w:t>the proposal would not harm neighbouring amenity, character, highway safety or parking conditions; and</w:t>
      </w:r>
    </w:p>
    <w:p w14:paraId="43C47888" w14:textId="585767E7" w:rsidR="009F62C7" w:rsidRPr="006C1EB4" w:rsidRDefault="00F6157A" w:rsidP="00F6157A">
      <w:pPr>
        <w:pStyle w:val="ListParagraph"/>
        <w:numPr>
          <w:ilvl w:val="0"/>
          <w:numId w:val="32"/>
        </w:numPr>
        <w:tabs>
          <w:tab w:val="left" w:pos="567"/>
          <w:tab w:val="left" w:pos="3765"/>
        </w:tabs>
        <w:spacing w:line="276" w:lineRule="auto"/>
        <w:rPr>
          <w:rFonts w:cs="Arial"/>
          <w:lang w:eastAsia="en-GB"/>
        </w:rPr>
      </w:pPr>
      <w:r w:rsidRPr="00F6157A">
        <w:rPr>
          <w:rFonts w:cs="Arial"/>
          <w:lang w:eastAsia="en-GB"/>
        </w:rPr>
        <w:t>the Article 4 Direction does not create a presumption against HMOs and proposals should be assessed on their individual merits.</w:t>
      </w:r>
      <w:r w:rsidR="00566FDB" w:rsidRPr="006C1EB4">
        <w:rPr>
          <w:rFonts w:cs="Arial"/>
          <w:lang w:eastAsia="en-GB"/>
        </w:rPr>
        <w:br/>
      </w:r>
    </w:p>
    <w:p w14:paraId="22FE80BB" w14:textId="78A7430E" w:rsidR="00266737" w:rsidRPr="006C1EB4" w:rsidRDefault="00266737" w:rsidP="00C3468A">
      <w:pPr>
        <w:tabs>
          <w:tab w:val="left" w:pos="567"/>
          <w:tab w:val="left" w:pos="3765"/>
        </w:tabs>
        <w:spacing w:line="276" w:lineRule="auto"/>
        <w:rPr>
          <w:rFonts w:cs="Arial"/>
          <w:lang w:eastAsia="en-GB"/>
        </w:rPr>
      </w:pPr>
      <w:r w:rsidRPr="006C1EB4">
        <w:rPr>
          <w:rFonts w:cs="Arial"/>
          <w:lang w:eastAsia="en-GB"/>
        </w:rPr>
        <w:t xml:space="preserve">Taking into consideration these points the appellant believes the proposed scheme to be acceptable. The LPA’s responses are set out below. </w:t>
      </w:r>
    </w:p>
    <w:p w14:paraId="3417F0A8" w14:textId="77777777" w:rsidR="008935A2" w:rsidRDefault="008935A2" w:rsidP="00C3468A">
      <w:pPr>
        <w:tabs>
          <w:tab w:val="left" w:pos="567"/>
          <w:tab w:val="left" w:pos="2460"/>
        </w:tabs>
        <w:spacing w:line="276" w:lineRule="auto"/>
        <w:rPr>
          <w:rFonts w:cs="Arial"/>
          <w:i/>
          <w:iCs/>
          <w:lang w:eastAsia="en-GB"/>
        </w:rPr>
      </w:pPr>
    </w:p>
    <w:p w14:paraId="04D8DF6B" w14:textId="26A1462B" w:rsidR="007922D0" w:rsidRPr="00035583" w:rsidRDefault="003F3CDA" w:rsidP="00C3468A">
      <w:pPr>
        <w:tabs>
          <w:tab w:val="left" w:pos="567"/>
          <w:tab w:val="left" w:pos="2460"/>
        </w:tabs>
        <w:spacing w:line="276" w:lineRule="auto"/>
        <w:rPr>
          <w:rFonts w:cs="Arial"/>
          <w:lang w:eastAsia="en-GB"/>
        </w:rPr>
      </w:pPr>
      <w:r w:rsidRPr="00035583">
        <w:rPr>
          <w:rFonts w:cs="Arial"/>
          <w:lang w:eastAsia="en-GB"/>
        </w:rPr>
        <w:t>Existing Lawful Use</w:t>
      </w:r>
      <w:r w:rsidR="006C4CF8" w:rsidRPr="00035583">
        <w:rPr>
          <w:rFonts w:cs="Arial"/>
          <w:lang w:eastAsia="en-GB"/>
        </w:rPr>
        <w:tab/>
      </w:r>
    </w:p>
    <w:p w14:paraId="5CCD3869" w14:textId="77777777" w:rsidR="006C4CF8" w:rsidRPr="00035583" w:rsidRDefault="006C4CF8" w:rsidP="00C3468A">
      <w:pPr>
        <w:tabs>
          <w:tab w:val="left" w:pos="567"/>
          <w:tab w:val="left" w:pos="2460"/>
        </w:tabs>
        <w:spacing w:line="276" w:lineRule="auto"/>
        <w:rPr>
          <w:rFonts w:cs="Arial"/>
          <w:lang w:eastAsia="en-GB"/>
        </w:rPr>
      </w:pPr>
    </w:p>
    <w:p w14:paraId="5832DD92" w14:textId="0447BB50" w:rsidR="008B26C0" w:rsidRPr="00035583" w:rsidRDefault="00035583" w:rsidP="008B26C0">
      <w:pPr>
        <w:tabs>
          <w:tab w:val="left" w:pos="567"/>
          <w:tab w:val="left" w:pos="3765"/>
        </w:tabs>
        <w:ind w:left="567" w:hanging="567"/>
        <w:rPr>
          <w:rFonts w:cs="Arial"/>
          <w:lang w:eastAsia="en-GB"/>
        </w:rPr>
      </w:pPr>
      <w:r>
        <w:rPr>
          <w:rFonts w:cs="Arial"/>
          <w:lang w:eastAsia="en-GB"/>
        </w:rPr>
        <w:t>2.2</w:t>
      </w:r>
      <w:r w:rsidR="008B26C0" w:rsidRPr="00035583">
        <w:rPr>
          <w:rFonts w:cs="Arial"/>
          <w:lang w:eastAsia="en-GB"/>
        </w:rPr>
        <w:t xml:space="preserve"> The appellant places considerable reliance on the timing of the Council's Article 4 Direction and states that works commenced on 1</w:t>
      </w:r>
      <w:r w:rsidR="008B26C0" w:rsidRPr="00035583">
        <w:rPr>
          <w:rFonts w:cs="Arial"/>
          <w:vertAlign w:val="superscript"/>
          <w:lang w:eastAsia="en-GB"/>
        </w:rPr>
        <w:t>st</w:t>
      </w:r>
      <w:r w:rsidR="008B26C0" w:rsidRPr="00035583">
        <w:rPr>
          <w:rFonts w:cs="Arial"/>
          <w:lang w:eastAsia="en-GB"/>
        </w:rPr>
        <w:t xml:space="preserve"> September 2025 and were well advanced before the Direction came into force on 10</w:t>
      </w:r>
      <w:r w:rsidR="008B26C0" w:rsidRPr="00035583">
        <w:rPr>
          <w:rFonts w:cs="Arial"/>
          <w:vertAlign w:val="superscript"/>
          <w:lang w:eastAsia="en-GB"/>
        </w:rPr>
        <w:t>th</w:t>
      </w:r>
      <w:r w:rsidR="008B26C0" w:rsidRPr="00035583">
        <w:rPr>
          <w:rFonts w:cs="Arial"/>
          <w:lang w:eastAsia="en-GB"/>
        </w:rPr>
        <w:t xml:space="preserve"> December 2025.</w:t>
      </w:r>
    </w:p>
    <w:p w14:paraId="326B20BA" w14:textId="77777777" w:rsidR="008B26C0" w:rsidRPr="00035583" w:rsidRDefault="008B26C0" w:rsidP="008B26C0">
      <w:pPr>
        <w:tabs>
          <w:tab w:val="left" w:pos="567"/>
          <w:tab w:val="left" w:pos="3765"/>
        </w:tabs>
        <w:ind w:left="567" w:hanging="567"/>
        <w:rPr>
          <w:rFonts w:cs="Arial"/>
          <w:lang w:eastAsia="en-GB"/>
        </w:rPr>
      </w:pPr>
    </w:p>
    <w:p w14:paraId="2183B510" w14:textId="71559CED" w:rsidR="008B26C0" w:rsidRPr="00035583" w:rsidRDefault="00035583" w:rsidP="008B26C0">
      <w:pPr>
        <w:tabs>
          <w:tab w:val="left" w:pos="567"/>
          <w:tab w:val="left" w:pos="3765"/>
        </w:tabs>
        <w:ind w:left="567" w:hanging="567"/>
        <w:rPr>
          <w:rFonts w:cs="Arial"/>
          <w:lang w:eastAsia="en-GB"/>
        </w:rPr>
      </w:pPr>
      <w:r>
        <w:rPr>
          <w:rFonts w:cs="Arial"/>
          <w:lang w:eastAsia="en-GB"/>
        </w:rPr>
        <w:t>2</w:t>
      </w:r>
      <w:r w:rsidR="008B26C0" w:rsidRPr="00035583">
        <w:rPr>
          <w:rFonts w:cs="Arial"/>
          <w:lang w:eastAsia="en-GB"/>
        </w:rPr>
        <w:t xml:space="preserve">.3 The Council's officer report explains that the lawful use of a property is determined by its actual use and occupation, rather than </w:t>
      </w:r>
      <w:r w:rsidR="001F4627" w:rsidRPr="00035583">
        <w:rPr>
          <w:rFonts w:cs="Arial"/>
          <w:lang w:eastAsia="en-GB"/>
        </w:rPr>
        <w:t>if works have commenced</w:t>
      </w:r>
      <w:r w:rsidR="008B26C0" w:rsidRPr="00035583">
        <w:rPr>
          <w:rFonts w:cs="Arial"/>
          <w:lang w:eastAsia="en-GB"/>
        </w:rPr>
        <w:t>. A C4 use arises where a property is occupied by between three and six unrelated individuals living together as separate households.</w:t>
      </w:r>
    </w:p>
    <w:p w14:paraId="54C5E574" w14:textId="77777777" w:rsidR="008B26C0" w:rsidRPr="00035583" w:rsidRDefault="008B26C0" w:rsidP="008B26C0">
      <w:pPr>
        <w:tabs>
          <w:tab w:val="left" w:pos="567"/>
          <w:tab w:val="left" w:pos="3765"/>
        </w:tabs>
        <w:ind w:left="567" w:hanging="567"/>
        <w:rPr>
          <w:rFonts w:cs="Arial"/>
          <w:lang w:eastAsia="en-GB"/>
        </w:rPr>
      </w:pPr>
    </w:p>
    <w:p w14:paraId="47006749" w14:textId="41E7E069" w:rsidR="008B26C0" w:rsidRPr="00035583" w:rsidRDefault="00035583" w:rsidP="008B26C0">
      <w:pPr>
        <w:tabs>
          <w:tab w:val="left" w:pos="567"/>
          <w:tab w:val="left" w:pos="3765"/>
        </w:tabs>
        <w:ind w:left="567" w:hanging="567"/>
        <w:rPr>
          <w:rFonts w:cs="Arial"/>
          <w:lang w:eastAsia="en-GB"/>
        </w:rPr>
      </w:pPr>
      <w:r>
        <w:rPr>
          <w:rFonts w:cs="Arial"/>
          <w:lang w:eastAsia="en-GB"/>
        </w:rPr>
        <w:t>2</w:t>
      </w:r>
      <w:r w:rsidR="008B26C0" w:rsidRPr="00035583">
        <w:rPr>
          <w:rFonts w:cs="Arial"/>
          <w:lang w:eastAsia="en-GB"/>
        </w:rPr>
        <w:t>.4 No substantive or verifiable evidence was submitted with the application to demonstrate that the property was lawfully occupied as a C4 HMO prior to the Article 4 Direction coming into force. Accordingly, the Council assessed the application on the basis that the lawful use remained C3.</w:t>
      </w:r>
    </w:p>
    <w:p w14:paraId="758734AE" w14:textId="77777777" w:rsidR="008B26C0" w:rsidRPr="00035583" w:rsidRDefault="008B26C0" w:rsidP="008B26C0">
      <w:pPr>
        <w:tabs>
          <w:tab w:val="left" w:pos="567"/>
          <w:tab w:val="left" w:pos="3765"/>
        </w:tabs>
        <w:ind w:left="567" w:hanging="567"/>
        <w:rPr>
          <w:rFonts w:cs="Arial"/>
          <w:lang w:eastAsia="en-GB"/>
        </w:rPr>
      </w:pPr>
    </w:p>
    <w:p w14:paraId="62D7A54D" w14:textId="44327E6C" w:rsidR="00895ACB" w:rsidRPr="00035583" w:rsidRDefault="00035583" w:rsidP="008B26C0">
      <w:pPr>
        <w:tabs>
          <w:tab w:val="left" w:pos="567"/>
          <w:tab w:val="left" w:pos="3765"/>
        </w:tabs>
        <w:ind w:left="567" w:hanging="567"/>
        <w:rPr>
          <w:rFonts w:cs="Arial"/>
          <w:b/>
          <w:bCs/>
          <w:lang w:eastAsia="en-GB"/>
        </w:rPr>
      </w:pPr>
      <w:r>
        <w:rPr>
          <w:rFonts w:cs="Arial"/>
          <w:lang w:eastAsia="en-GB"/>
        </w:rPr>
        <w:t>2</w:t>
      </w:r>
      <w:r w:rsidR="008B26C0" w:rsidRPr="00035583">
        <w:rPr>
          <w:rFonts w:cs="Arial"/>
          <w:lang w:eastAsia="en-GB"/>
        </w:rPr>
        <w:t>.5 The Article 4 Direction does not establish a presumption against HMOs. It brings changes of use from C3 to C4 within planning control so that individual proposals can be assessed against the development plan. The Council has undertaken that assessment in this case.</w:t>
      </w:r>
      <w:r w:rsidR="001F4627" w:rsidRPr="00035583">
        <w:rPr>
          <w:rFonts w:cs="Arial"/>
          <w:lang w:eastAsia="en-GB"/>
        </w:rPr>
        <w:br/>
      </w:r>
    </w:p>
    <w:p w14:paraId="38306A04" w14:textId="127C4AF3" w:rsidR="00AD3771" w:rsidRPr="00035583" w:rsidRDefault="00AD3771" w:rsidP="00AD3771">
      <w:pPr>
        <w:tabs>
          <w:tab w:val="left" w:pos="567"/>
          <w:tab w:val="left" w:pos="3765"/>
        </w:tabs>
        <w:rPr>
          <w:rFonts w:cs="Arial"/>
          <w:lang w:eastAsia="en-GB"/>
        </w:rPr>
      </w:pPr>
      <w:r w:rsidRPr="00035583">
        <w:rPr>
          <w:rFonts w:cs="Arial"/>
          <w:b/>
          <w:bCs/>
          <w:lang w:eastAsia="en-GB"/>
        </w:rPr>
        <w:t>RESPONSE TO REASON FOR REFUSAL 1 – PRINCIPLE OF DEVELOPMENT</w:t>
      </w:r>
      <w:r w:rsidRPr="00035583">
        <w:rPr>
          <w:rFonts w:cs="Arial"/>
          <w:b/>
          <w:bCs/>
          <w:lang w:eastAsia="en-GB"/>
        </w:rPr>
        <w:br/>
      </w:r>
    </w:p>
    <w:p w14:paraId="345FE52F" w14:textId="77777777" w:rsidR="00AD3771" w:rsidRPr="00035583" w:rsidRDefault="00AD3771" w:rsidP="00AD3771">
      <w:pPr>
        <w:tabs>
          <w:tab w:val="left" w:pos="567"/>
          <w:tab w:val="left" w:pos="3765"/>
        </w:tabs>
        <w:rPr>
          <w:rFonts w:cs="Arial"/>
          <w:lang w:eastAsia="en-GB"/>
        </w:rPr>
      </w:pPr>
      <w:r w:rsidRPr="00035583">
        <w:rPr>
          <w:rFonts w:cs="Arial"/>
          <w:lang w:eastAsia="en-GB"/>
        </w:rPr>
        <w:t>Housing Mix and Loss of Family Accommodation</w:t>
      </w:r>
    </w:p>
    <w:p w14:paraId="5DE80BB9" w14:textId="77777777" w:rsidR="00AD3771" w:rsidRPr="00035583" w:rsidRDefault="00AD3771" w:rsidP="00AD3771">
      <w:pPr>
        <w:tabs>
          <w:tab w:val="left" w:pos="567"/>
          <w:tab w:val="left" w:pos="3765"/>
        </w:tabs>
        <w:rPr>
          <w:rFonts w:cs="Arial"/>
          <w:lang w:eastAsia="en-GB"/>
        </w:rPr>
      </w:pPr>
    </w:p>
    <w:p w14:paraId="2A169545" w14:textId="6CCA620B" w:rsidR="00AD3771" w:rsidRPr="00035583" w:rsidRDefault="00035583" w:rsidP="00AD3771">
      <w:pPr>
        <w:tabs>
          <w:tab w:val="left" w:pos="567"/>
          <w:tab w:val="left" w:pos="3765"/>
        </w:tabs>
        <w:rPr>
          <w:rFonts w:cs="Arial"/>
          <w:lang w:eastAsia="en-GB"/>
        </w:rPr>
      </w:pPr>
      <w:r>
        <w:rPr>
          <w:rFonts w:cs="Arial"/>
          <w:lang w:eastAsia="en-GB"/>
        </w:rPr>
        <w:lastRenderedPageBreak/>
        <w:t>2.6</w:t>
      </w:r>
      <w:r w:rsidR="00AD3771" w:rsidRPr="00035583">
        <w:rPr>
          <w:rFonts w:cs="Arial"/>
          <w:lang w:eastAsia="en-GB"/>
        </w:rPr>
        <w:t xml:space="preserve"> The appellant argues that the proposal does not result in a loss of residential accommodation because the property would remain residential and would accommodate four residents rather than one family household.</w:t>
      </w:r>
    </w:p>
    <w:p w14:paraId="3F694278" w14:textId="77777777" w:rsidR="00AD3771" w:rsidRPr="00035583" w:rsidRDefault="00AD3771" w:rsidP="00AD3771">
      <w:pPr>
        <w:tabs>
          <w:tab w:val="left" w:pos="567"/>
          <w:tab w:val="left" w:pos="3765"/>
        </w:tabs>
        <w:rPr>
          <w:rFonts w:cs="Arial"/>
          <w:lang w:eastAsia="en-GB"/>
        </w:rPr>
      </w:pPr>
    </w:p>
    <w:p w14:paraId="16088B5D" w14:textId="5718F9FB" w:rsidR="00AD3771" w:rsidRDefault="00035583" w:rsidP="00AD3771">
      <w:pPr>
        <w:tabs>
          <w:tab w:val="left" w:pos="567"/>
          <w:tab w:val="left" w:pos="3765"/>
        </w:tabs>
        <w:rPr>
          <w:rFonts w:cs="Arial"/>
          <w:lang w:eastAsia="en-GB"/>
        </w:rPr>
      </w:pPr>
      <w:r>
        <w:rPr>
          <w:rFonts w:cs="Arial"/>
          <w:lang w:eastAsia="en-GB"/>
        </w:rPr>
        <w:t>2.7</w:t>
      </w:r>
      <w:r w:rsidR="00AD3771" w:rsidRPr="00035583">
        <w:rPr>
          <w:rFonts w:cs="Arial"/>
          <w:lang w:eastAsia="en-GB"/>
        </w:rPr>
        <w:t xml:space="preserve"> Policy DMH 2 of the Hillingdon Local Plan: Part Two (2020) requires development to provide an appropriate mix of housing sizes having regard to the Council’s latest evidence of housing need. The supporting text identifies a substantial requirement for larger affordable and private market housing, particularly three-bedroom properties.</w:t>
      </w:r>
    </w:p>
    <w:p w14:paraId="0875B78F" w14:textId="77777777" w:rsidR="0010792B" w:rsidRDefault="0010792B" w:rsidP="00AD3771">
      <w:pPr>
        <w:tabs>
          <w:tab w:val="left" w:pos="567"/>
          <w:tab w:val="left" w:pos="3765"/>
        </w:tabs>
        <w:rPr>
          <w:rFonts w:cs="Arial"/>
          <w:lang w:eastAsia="en-GB"/>
        </w:rPr>
      </w:pPr>
    </w:p>
    <w:p w14:paraId="1C8F17AB" w14:textId="4795FCFC" w:rsidR="0010792B" w:rsidRPr="00035583" w:rsidRDefault="0010792B" w:rsidP="00AD3771">
      <w:pPr>
        <w:tabs>
          <w:tab w:val="left" w:pos="567"/>
          <w:tab w:val="left" w:pos="3765"/>
        </w:tabs>
        <w:rPr>
          <w:rFonts w:cs="Arial"/>
          <w:lang w:eastAsia="en-GB"/>
        </w:rPr>
      </w:pPr>
      <w:r>
        <w:rPr>
          <w:rFonts w:cs="Arial"/>
          <w:lang w:eastAsia="en-GB"/>
        </w:rPr>
        <w:t xml:space="preserve">2.8 The </w:t>
      </w:r>
      <w:r w:rsidRPr="001F4B45">
        <w:rPr>
          <w:rFonts w:cs="Arial"/>
          <w:lang w:eastAsia="en-GB"/>
        </w:rPr>
        <w:t>Strategic Housing Market Assessment</w:t>
      </w:r>
      <w:r>
        <w:rPr>
          <w:rFonts w:cs="Arial"/>
          <w:lang w:eastAsia="en-GB"/>
        </w:rPr>
        <w:t xml:space="preserve"> (SHMA) </w:t>
      </w:r>
      <w:r w:rsidRPr="001F4B45">
        <w:rPr>
          <w:rFonts w:cs="Arial"/>
          <w:lang w:eastAsia="en-GB"/>
        </w:rPr>
        <w:t>identif</w:t>
      </w:r>
      <w:r>
        <w:rPr>
          <w:rFonts w:cs="Arial"/>
          <w:lang w:eastAsia="en-GB"/>
        </w:rPr>
        <w:t>ies</w:t>
      </w:r>
      <w:r w:rsidRPr="001F4B45">
        <w:rPr>
          <w:rFonts w:cs="Arial"/>
          <w:lang w:eastAsia="en-GB"/>
        </w:rPr>
        <w:t xml:space="preserve"> three-bedroom dwellings as the largest single category of housing need within the Borough</w:t>
      </w:r>
      <w:r>
        <w:rPr>
          <w:rFonts w:cs="Arial"/>
          <w:lang w:eastAsia="en-GB"/>
        </w:rPr>
        <w:t xml:space="preserve"> </w:t>
      </w:r>
      <w:r w:rsidRPr="001F4B45">
        <w:rPr>
          <w:rFonts w:cs="Arial"/>
          <w:lang w:eastAsia="en-GB"/>
        </w:rPr>
        <w:t>over the period 2025/26 to 2039/40.</w:t>
      </w:r>
      <w:r w:rsidRPr="00996640">
        <w:rPr>
          <w:rFonts w:cs="Arial"/>
          <w:lang w:eastAsia="en-GB"/>
        </w:rPr>
        <w:t xml:space="preserve"> </w:t>
      </w:r>
      <w:r w:rsidRPr="00E90FDC">
        <w:rPr>
          <w:rFonts w:cs="Arial"/>
          <w:lang w:eastAsia="en-GB"/>
        </w:rPr>
        <w:t xml:space="preserve">Figure 41 identifies a need for 7,018 three-bedroom dwellings over the period 2025/26 to 2039/40, representing the single largest category of housing need. The SHMA also identifies substantial levels of overcrowding, including 3,722 households in overcrowded private rented accommodation and 2,659 households in overcrowded social rented accommodation. The evidence therefore demonstrates a continuing need for larger dwellings capable of accommodating family households. Whilst the SHMA acknowledges that increasing affordability pressures have resulted in more households living in shared and HMO-type accommodation, those observations are descriptive of current market conditions and do not amount to evidence of a strategic need for additional HMOs. Importantly, the SHMA does not identify any quantified requirement for HMOs, whereas it does identify a clear and substantial need for larger family-sized homes. The appeal property retains the physical characteristics of a family dwelling and </w:t>
      </w:r>
      <w:proofErr w:type="gramStart"/>
      <w:r w:rsidRPr="00E90FDC">
        <w:rPr>
          <w:rFonts w:cs="Arial"/>
          <w:lang w:eastAsia="en-GB"/>
        </w:rPr>
        <w:t>is capable of contributing</w:t>
      </w:r>
      <w:proofErr w:type="gramEnd"/>
      <w:r w:rsidRPr="00E90FDC">
        <w:rPr>
          <w:rFonts w:cs="Arial"/>
          <w:lang w:eastAsia="en-GB"/>
        </w:rPr>
        <w:t xml:space="preserve"> towards that identified housing need.</w:t>
      </w:r>
    </w:p>
    <w:p w14:paraId="60D73717" w14:textId="77777777" w:rsidR="00AD3771" w:rsidRPr="00035583" w:rsidRDefault="00AD3771" w:rsidP="00AD3771">
      <w:pPr>
        <w:tabs>
          <w:tab w:val="left" w:pos="567"/>
          <w:tab w:val="left" w:pos="3765"/>
        </w:tabs>
        <w:rPr>
          <w:rFonts w:cs="Arial"/>
          <w:lang w:eastAsia="en-GB"/>
        </w:rPr>
      </w:pPr>
    </w:p>
    <w:p w14:paraId="3B69520F" w14:textId="0966CE65" w:rsidR="00AD3771" w:rsidRPr="00035583" w:rsidRDefault="00035583" w:rsidP="00AD3771">
      <w:pPr>
        <w:tabs>
          <w:tab w:val="left" w:pos="567"/>
          <w:tab w:val="left" w:pos="3765"/>
        </w:tabs>
        <w:rPr>
          <w:rFonts w:cs="Arial"/>
          <w:lang w:eastAsia="en-GB"/>
        </w:rPr>
      </w:pPr>
      <w:r>
        <w:rPr>
          <w:rFonts w:cs="Arial"/>
          <w:lang w:eastAsia="en-GB"/>
        </w:rPr>
        <w:t>2.</w:t>
      </w:r>
      <w:r w:rsidR="00F2386A">
        <w:rPr>
          <w:rFonts w:cs="Arial"/>
          <w:lang w:eastAsia="en-GB"/>
        </w:rPr>
        <w:t>9</w:t>
      </w:r>
      <w:r w:rsidR="00AD3771" w:rsidRPr="00035583">
        <w:rPr>
          <w:rFonts w:cs="Arial"/>
          <w:lang w:eastAsia="en-GB"/>
        </w:rPr>
        <w:t xml:space="preserve"> The appeal proposal would remove from the housing stock a self-contained three-bedroom dwelling capable of accommodating a family and replace it with four bedrooms within a shared HMO arrangement.</w:t>
      </w:r>
    </w:p>
    <w:p w14:paraId="46037BBA" w14:textId="77777777" w:rsidR="00AD3771" w:rsidRPr="00035583" w:rsidRDefault="00AD3771" w:rsidP="00AD3771">
      <w:pPr>
        <w:tabs>
          <w:tab w:val="left" w:pos="567"/>
          <w:tab w:val="left" w:pos="3765"/>
        </w:tabs>
        <w:rPr>
          <w:rFonts w:cs="Arial"/>
          <w:lang w:eastAsia="en-GB"/>
        </w:rPr>
      </w:pPr>
    </w:p>
    <w:p w14:paraId="0EAE729A" w14:textId="39EA4E89" w:rsidR="00AD3771" w:rsidRPr="00035583" w:rsidRDefault="00035583" w:rsidP="00AD3771">
      <w:pPr>
        <w:tabs>
          <w:tab w:val="left" w:pos="567"/>
          <w:tab w:val="left" w:pos="3765"/>
        </w:tabs>
        <w:rPr>
          <w:rFonts w:cs="Arial"/>
          <w:lang w:eastAsia="en-GB"/>
        </w:rPr>
      </w:pPr>
      <w:r>
        <w:rPr>
          <w:rFonts w:cs="Arial"/>
          <w:lang w:eastAsia="en-GB"/>
        </w:rPr>
        <w:t>2.</w:t>
      </w:r>
      <w:r w:rsidR="00F2386A">
        <w:rPr>
          <w:rFonts w:cs="Arial"/>
          <w:lang w:eastAsia="en-GB"/>
        </w:rPr>
        <w:t>10</w:t>
      </w:r>
      <w:r w:rsidR="00AD3771" w:rsidRPr="00035583">
        <w:rPr>
          <w:rFonts w:cs="Arial"/>
          <w:lang w:eastAsia="en-GB"/>
        </w:rPr>
        <w:t xml:space="preserve"> The Council accepts that there is a need for a range of housing types and sizes. However, the existence of a general housing need does not remove the requirement to have regard to the </w:t>
      </w:r>
      <w:proofErr w:type="gramStart"/>
      <w:r w:rsidR="00AD3771" w:rsidRPr="00035583">
        <w:rPr>
          <w:rFonts w:cs="Arial"/>
          <w:lang w:eastAsia="en-GB"/>
        </w:rPr>
        <w:t>particular housing</w:t>
      </w:r>
      <w:proofErr w:type="gramEnd"/>
      <w:r w:rsidR="00AD3771" w:rsidRPr="00035583">
        <w:rPr>
          <w:rFonts w:cs="Arial"/>
          <w:lang w:eastAsia="en-GB"/>
        </w:rPr>
        <w:t xml:space="preserve"> mix objectives of Policy DMH 2.</w:t>
      </w:r>
    </w:p>
    <w:p w14:paraId="556F443A" w14:textId="77777777" w:rsidR="00AD3771" w:rsidRPr="00035583" w:rsidRDefault="00AD3771" w:rsidP="00AD3771">
      <w:pPr>
        <w:tabs>
          <w:tab w:val="left" w:pos="567"/>
          <w:tab w:val="left" w:pos="3765"/>
        </w:tabs>
        <w:rPr>
          <w:rFonts w:cs="Arial"/>
          <w:lang w:eastAsia="en-GB"/>
        </w:rPr>
      </w:pPr>
    </w:p>
    <w:p w14:paraId="28994D72" w14:textId="0ED08906" w:rsidR="00AD3771" w:rsidRPr="00035583" w:rsidRDefault="00035583" w:rsidP="00AD3771">
      <w:pPr>
        <w:tabs>
          <w:tab w:val="left" w:pos="567"/>
          <w:tab w:val="left" w:pos="3765"/>
        </w:tabs>
        <w:rPr>
          <w:rFonts w:cs="Arial"/>
          <w:lang w:eastAsia="en-GB"/>
        </w:rPr>
      </w:pPr>
      <w:r>
        <w:rPr>
          <w:rFonts w:cs="Arial"/>
          <w:lang w:eastAsia="en-GB"/>
        </w:rPr>
        <w:t>2.1</w:t>
      </w:r>
      <w:r w:rsidR="00F2386A">
        <w:rPr>
          <w:rFonts w:cs="Arial"/>
          <w:lang w:eastAsia="en-GB"/>
        </w:rPr>
        <w:t>1</w:t>
      </w:r>
      <w:r w:rsidR="00AD3771" w:rsidRPr="00035583">
        <w:rPr>
          <w:rFonts w:cs="Arial"/>
          <w:lang w:eastAsia="en-GB"/>
        </w:rPr>
        <w:t xml:space="preserve"> The appellant has not demonstrated why the loss of a three-bedroom family-capable dwelling is justified in this </w:t>
      </w:r>
      <w:proofErr w:type="gramStart"/>
      <w:r w:rsidR="00AD3771" w:rsidRPr="00035583">
        <w:rPr>
          <w:rFonts w:cs="Arial"/>
          <w:lang w:eastAsia="en-GB"/>
        </w:rPr>
        <w:t>particular case</w:t>
      </w:r>
      <w:proofErr w:type="gramEnd"/>
      <w:r w:rsidR="00AD3771" w:rsidRPr="00035583">
        <w:rPr>
          <w:rFonts w:cs="Arial"/>
          <w:lang w:eastAsia="en-GB"/>
        </w:rPr>
        <w:t xml:space="preserve"> having regard to the identified need for family accommodation.</w:t>
      </w:r>
    </w:p>
    <w:p w14:paraId="1C3CE93B" w14:textId="77777777" w:rsidR="00AD3771" w:rsidRPr="00035583" w:rsidRDefault="00AD3771" w:rsidP="00AD3771">
      <w:pPr>
        <w:tabs>
          <w:tab w:val="left" w:pos="567"/>
          <w:tab w:val="left" w:pos="3765"/>
        </w:tabs>
        <w:rPr>
          <w:rFonts w:cs="Arial"/>
          <w:lang w:eastAsia="en-GB"/>
        </w:rPr>
      </w:pPr>
    </w:p>
    <w:p w14:paraId="67CC359A" w14:textId="77777777" w:rsidR="00AD3771" w:rsidRPr="00035583" w:rsidRDefault="00AD3771" w:rsidP="00AD3771">
      <w:pPr>
        <w:tabs>
          <w:tab w:val="left" w:pos="567"/>
          <w:tab w:val="left" w:pos="3765"/>
        </w:tabs>
        <w:rPr>
          <w:rFonts w:cs="Arial"/>
          <w:lang w:eastAsia="en-GB"/>
        </w:rPr>
      </w:pPr>
      <w:r w:rsidRPr="00035583">
        <w:rPr>
          <w:rFonts w:cs="Arial"/>
          <w:lang w:eastAsia="en-GB"/>
        </w:rPr>
        <w:t>Reversion to a Dwelling</w:t>
      </w:r>
    </w:p>
    <w:p w14:paraId="2031457D" w14:textId="77777777" w:rsidR="00AD3771" w:rsidRPr="00035583" w:rsidRDefault="00AD3771" w:rsidP="00AD3771">
      <w:pPr>
        <w:tabs>
          <w:tab w:val="left" w:pos="567"/>
          <w:tab w:val="left" w:pos="3765"/>
        </w:tabs>
        <w:rPr>
          <w:rFonts w:cs="Arial"/>
          <w:lang w:eastAsia="en-GB"/>
        </w:rPr>
      </w:pPr>
    </w:p>
    <w:p w14:paraId="1D439F82" w14:textId="418AA641" w:rsidR="00AD3771" w:rsidRPr="00035583" w:rsidRDefault="00035583" w:rsidP="00AD3771">
      <w:pPr>
        <w:tabs>
          <w:tab w:val="left" w:pos="567"/>
          <w:tab w:val="left" w:pos="3765"/>
        </w:tabs>
        <w:rPr>
          <w:rFonts w:cs="Arial"/>
          <w:lang w:eastAsia="en-GB"/>
        </w:rPr>
      </w:pPr>
      <w:r>
        <w:rPr>
          <w:rFonts w:cs="Arial"/>
          <w:lang w:eastAsia="en-GB"/>
        </w:rPr>
        <w:t>2.1</w:t>
      </w:r>
      <w:r w:rsidR="00F2386A">
        <w:rPr>
          <w:rFonts w:cs="Arial"/>
          <w:lang w:eastAsia="en-GB"/>
        </w:rPr>
        <w:t>2</w:t>
      </w:r>
      <w:r w:rsidR="00AD3771" w:rsidRPr="00035583">
        <w:rPr>
          <w:rFonts w:cs="Arial"/>
          <w:lang w:eastAsia="en-GB"/>
        </w:rPr>
        <w:t xml:space="preserve"> The appellant places significant reliance on the proposition that the property could revert to a single dwelling in the future and therefore argues that there is no permanent loss of family housing.</w:t>
      </w:r>
    </w:p>
    <w:p w14:paraId="464B0290" w14:textId="77777777" w:rsidR="00AD3771" w:rsidRPr="00035583" w:rsidRDefault="00AD3771" w:rsidP="00AD3771">
      <w:pPr>
        <w:tabs>
          <w:tab w:val="left" w:pos="567"/>
          <w:tab w:val="left" w:pos="3765"/>
        </w:tabs>
        <w:rPr>
          <w:rFonts w:cs="Arial"/>
          <w:lang w:eastAsia="en-GB"/>
        </w:rPr>
      </w:pPr>
    </w:p>
    <w:p w14:paraId="1876B699" w14:textId="7AC55230" w:rsidR="00AD3771" w:rsidRPr="00035583" w:rsidRDefault="00035583" w:rsidP="00AD3771">
      <w:pPr>
        <w:tabs>
          <w:tab w:val="left" w:pos="567"/>
          <w:tab w:val="left" w:pos="3765"/>
        </w:tabs>
        <w:rPr>
          <w:rFonts w:cs="Arial"/>
          <w:lang w:eastAsia="en-GB"/>
        </w:rPr>
      </w:pPr>
      <w:r>
        <w:rPr>
          <w:rFonts w:cs="Arial"/>
          <w:lang w:eastAsia="en-GB"/>
        </w:rPr>
        <w:t>2.1</w:t>
      </w:r>
      <w:r w:rsidR="00F2386A">
        <w:rPr>
          <w:rFonts w:cs="Arial"/>
          <w:lang w:eastAsia="en-GB"/>
        </w:rPr>
        <w:t>3</w:t>
      </w:r>
      <w:r w:rsidR="00AD3771" w:rsidRPr="00035583">
        <w:rPr>
          <w:rFonts w:cs="Arial"/>
          <w:lang w:eastAsia="en-GB"/>
        </w:rPr>
        <w:t xml:space="preserve"> The Council does not consider this to overcome the current policy conflic</w:t>
      </w:r>
      <w:r w:rsidR="006D342F" w:rsidRPr="00035583">
        <w:rPr>
          <w:rFonts w:cs="Arial"/>
          <w:lang w:eastAsia="en-GB"/>
        </w:rPr>
        <w:t>t as t</w:t>
      </w:r>
      <w:r w:rsidR="00AD3771" w:rsidRPr="00035583">
        <w:rPr>
          <w:rFonts w:cs="Arial"/>
          <w:lang w:eastAsia="en-GB"/>
        </w:rPr>
        <w:t xml:space="preserve">he appeal proposal seeks permission for a material change of use to C4. The fact that a future operator or owner could subsequently cease the HMO use does not negate the loss of family-capable accommodation for the duration of the approved HMO use. Furthermore, there is no certainty that the property would revert to C3 use, when or under what circumstances that might occur. </w:t>
      </w:r>
    </w:p>
    <w:p w14:paraId="1D47C5A7" w14:textId="77777777" w:rsidR="00AD3771" w:rsidRPr="00035583" w:rsidRDefault="00AD3771" w:rsidP="00AD3771">
      <w:pPr>
        <w:tabs>
          <w:tab w:val="left" w:pos="567"/>
          <w:tab w:val="left" w:pos="3765"/>
        </w:tabs>
        <w:rPr>
          <w:rFonts w:cs="Arial"/>
          <w:lang w:eastAsia="en-GB"/>
        </w:rPr>
      </w:pPr>
    </w:p>
    <w:p w14:paraId="657668BD" w14:textId="77777777" w:rsidR="00AD3771" w:rsidRPr="00035583" w:rsidRDefault="00AD3771" w:rsidP="00AD3771">
      <w:pPr>
        <w:tabs>
          <w:tab w:val="left" w:pos="567"/>
          <w:tab w:val="left" w:pos="3765"/>
        </w:tabs>
        <w:rPr>
          <w:rFonts w:cs="Arial"/>
          <w:lang w:eastAsia="en-GB"/>
        </w:rPr>
      </w:pPr>
      <w:r w:rsidRPr="00035583">
        <w:rPr>
          <w:rFonts w:cs="Arial"/>
          <w:lang w:eastAsia="en-GB"/>
        </w:rPr>
        <w:t>Specialist Wheelchair-Accessible Accommodation</w:t>
      </w:r>
    </w:p>
    <w:p w14:paraId="0A9D0908" w14:textId="77777777" w:rsidR="00AD3771" w:rsidRPr="00035583" w:rsidRDefault="00AD3771" w:rsidP="00AD3771">
      <w:pPr>
        <w:tabs>
          <w:tab w:val="left" w:pos="567"/>
          <w:tab w:val="left" w:pos="3765"/>
        </w:tabs>
        <w:rPr>
          <w:rFonts w:cs="Arial"/>
          <w:lang w:eastAsia="en-GB"/>
        </w:rPr>
      </w:pPr>
    </w:p>
    <w:p w14:paraId="457040BD" w14:textId="545FF117" w:rsidR="00AD3771" w:rsidRPr="00035583" w:rsidRDefault="00035583" w:rsidP="00AD3771">
      <w:pPr>
        <w:tabs>
          <w:tab w:val="left" w:pos="567"/>
          <w:tab w:val="left" w:pos="3765"/>
        </w:tabs>
        <w:rPr>
          <w:rFonts w:cs="Arial"/>
          <w:lang w:eastAsia="en-GB"/>
        </w:rPr>
      </w:pPr>
      <w:r>
        <w:rPr>
          <w:rFonts w:cs="Arial"/>
          <w:lang w:eastAsia="en-GB"/>
        </w:rPr>
        <w:t>2.14</w:t>
      </w:r>
      <w:r w:rsidR="00AD3771" w:rsidRPr="00035583">
        <w:rPr>
          <w:rFonts w:cs="Arial"/>
          <w:lang w:eastAsia="en-GB"/>
        </w:rPr>
        <w:t xml:space="preserve"> The appellant argues that substantial weight should be given to the provision of specialist wheelchair-accessible accommodation and that the Council failed to recognise this public benefit.</w:t>
      </w:r>
    </w:p>
    <w:p w14:paraId="7E705B69" w14:textId="77777777" w:rsidR="00AD3771" w:rsidRPr="00035583" w:rsidRDefault="00AD3771" w:rsidP="00AD3771">
      <w:pPr>
        <w:tabs>
          <w:tab w:val="left" w:pos="567"/>
          <w:tab w:val="left" w:pos="3765"/>
        </w:tabs>
        <w:rPr>
          <w:rFonts w:cs="Arial"/>
          <w:lang w:eastAsia="en-GB"/>
        </w:rPr>
      </w:pPr>
    </w:p>
    <w:p w14:paraId="376FD9A9" w14:textId="11EF8AD1" w:rsidR="00AD3771" w:rsidRPr="00035583" w:rsidRDefault="00035583" w:rsidP="00AD3771">
      <w:pPr>
        <w:tabs>
          <w:tab w:val="left" w:pos="567"/>
          <w:tab w:val="left" w:pos="3765"/>
        </w:tabs>
        <w:rPr>
          <w:rFonts w:cs="Arial"/>
          <w:lang w:eastAsia="en-GB"/>
        </w:rPr>
      </w:pPr>
      <w:r>
        <w:rPr>
          <w:rFonts w:cs="Arial"/>
          <w:lang w:eastAsia="en-GB"/>
        </w:rPr>
        <w:t>2.15</w:t>
      </w:r>
      <w:r w:rsidR="00AD3771" w:rsidRPr="00035583">
        <w:rPr>
          <w:rFonts w:cs="Arial"/>
          <w:lang w:eastAsia="en-GB"/>
        </w:rPr>
        <w:t xml:space="preserve"> The Council does not accept that this benefit was overlooked. The officer report expressly acknowledges that the provision of wheelchair-accessible accommodation weighs in favour of the proposal. It also records the claimed accessible bedrooms, ensuites and shared accessible kitchen.</w:t>
      </w:r>
    </w:p>
    <w:p w14:paraId="58FDEE74" w14:textId="77777777" w:rsidR="00AD3771" w:rsidRPr="00035583" w:rsidRDefault="00AD3771" w:rsidP="00AD3771">
      <w:pPr>
        <w:tabs>
          <w:tab w:val="left" w:pos="567"/>
          <w:tab w:val="left" w:pos="3765"/>
        </w:tabs>
        <w:rPr>
          <w:rFonts w:cs="Arial"/>
          <w:lang w:eastAsia="en-GB"/>
        </w:rPr>
      </w:pPr>
    </w:p>
    <w:p w14:paraId="20B1AB9D" w14:textId="7AA34145" w:rsidR="00AD3771" w:rsidRPr="00035583" w:rsidRDefault="00035583" w:rsidP="00AD3771">
      <w:pPr>
        <w:tabs>
          <w:tab w:val="left" w:pos="567"/>
          <w:tab w:val="left" w:pos="3765"/>
        </w:tabs>
        <w:rPr>
          <w:rFonts w:cs="Arial"/>
          <w:lang w:eastAsia="en-GB"/>
        </w:rPr>
      </w:pPr>
      <w:r>
        <w:rPr>
          <w:rFonts w:cs="Arial"/>
          <w:lang w:eastAsia="en-GB"/>
        </w:rPr>
        <w:t>2.16</w:t>
      </w:r>
      <w:r w:rsidR="00AD3771" w:rsidRPr="00035583">
        <w:rPr>
          <w:rFonts w:cs="Arial"/>
          <w:lang w:eastAsia="en-GB"/>
        </w:rPr>
        <w:t xml:space="preserve"> The issue is therefore not whether accessible accommodation is beneficial</w:t>
      </w:r>
      <w:r w:rsidR="00157A13" w:rsidRPr="00035583">
        <w:rPr>
          <w:rFonts w:cs="Arial"/>
          <w:lang w:eastAsia="en-GB"/>
        </w:rPr>
        <w:t xml:space="preserve"> but </w:t>
      </w:r>
      <w:proofErr w:type="gramStart"/>
      <w:r w:rsidR="00157A13" w:rsidRPr="00035583">
        <w:rPr>
          <w:rFonts w:cs="Arial"/>
          <w:lang w:eastAsia="en-GB"/>
        </w:rPr>
        <w:t>with regard to</w:t>
      </w:r>
      <w:proofErr w:type="gramEnd"/>
      <w:r w:rsidR="00157A13" w:rsidRPr="00035583">
        <w:rPr>
          <w:rFonts w:cs="Arial"/>
          <w:lang w:eastAsia="en-GB"/>
        </w:rPr>
        <w:t xml:space="preserve"> </w:t>
      </w:r>
      <w:r w:rsidR="00AD3771" w:rsidRPr="00035583">
        <w:rPr>
          <w:rFonts w:cs="Arial"/>
          <w:lang w:eastAsia="en-GB"/>
        </w:rPr>
        <w:t>the weight that should be attributed to that benefit when balanced against the identified policy conflict and the shortcomings in the proposed accommodation.</w:t>
      </w:r>
    </w:p>
    <w:p w14:paraId="5B1166D9" w14:textId="77777777" w:rsidR="00AD3771" w:rsidRPr="00035583" w:rsidRDefault="00AD3771" w:rsidP="00AD3771">
      <w:pPr>
        <w:tabs>
          <w:tab w:val="left" w:pos="567"/>
          <w:tab w:val="left" w:pos="3765"/>
        </w:tabs>
        <w:rPr>
          <w:rFonts w:cs="Arial"/>
          <w:lang w:eastAsia="en-GB"/>
        </w:rPr>
      </w:pPr>
    </w:p>
    <w:p w14:paraId="45A3713E" w14:textId="27298DD1" w:rsidR="00AD3771" w:rsidRPr="00035583" w:rsidRDefault="00035583" w:rsidP="00AD3771">
      <w:pPr>
        <w:tabs>
          <w:tab w:val="left" w:pos="567"/>
          <w:tab w:val="left" w:pos="3765"/>
        </w:tabs>
        <w:rPr>
          <w:rFonts w:cs="Arial"/>
          <w:lang w:eastAsia="en-GB"/>
        </w:rPr>
      </w:pPr>
      <w:r>
        <w:rPr>
          <w:rFonts w:cs="Arial"/>
          <w:lang w:eastAsia="en-GB"/>
        </w:rPr>
        <w:t>2.17</w:t>
      </w:r>
      <w:r w:rsidR="00AD3771" w:rsidRPr="00035583">
        <w:rPr>
          <w:rFonts w:cs="Arial"/>
          <w:lang w:eastAsia="en-GB"/>
        </w:rPr>
        <w:t xml:space="preserve"> The appeal statement does not</w:t>
      </w:r>
      <w:proofErr w:type="gramStart"/>
      <w:r w:rsidR="00AD3771" w:rsidRPr="00035583">
        <w:rPr>
          <w:rFonts w:cs="Arial"/>
          <w:lang w:eastAsia="en-GB"/>
        </w:rPr>
        <w:t>, in itself, provide</w:t>
      </w:r>
      <w:proofErr w:type="gramEnd"/>
      <w:r w:rsidR="00AD3771" w:rsidRPr="00035583">
        <w:rPr>
          <w:rFonts w:cs="Arial"/>
          <w:lang w:eastAsia="en-GB"/>
        </w:rPr>
        <w:t xml:space="preserve"> substantive evidence quantifying that need or demonstrating that the </w:t>
      </w:r>
      <w:proofErr w:type="gramStart"/>
      <w:r w:rsidR="00AD3771" w:rsidRPr="00035583">
        <w:rPr>
          <w:rFonts w:cs="Arial"/>
          <w:lang w:eastAsia="en-GB"/>
        </w:rPr>
        <w:t>particular form</w:t>
      </w:r>
      <w:proofErr w:type="gramEnd"/>
      <w:r w:rsidR="00AD3771" w:rsidRPr="00035583">
        <w:rPr>
          <w:rFonts w:cs="Arial"/>
          <w:lang w:eastAsia="en-GB"/>
        </w:rPr>
        <w:t xml:space="preserve"> of accommodation proposed is required to meet an identified local housing need.</w:t>
      </w:r>
    </w:p>
    <w:p w14:paraId="2A3C2C45" w14:textId="77777777" w:rsidR="00AD3771" w:rsidRPr="00035583" w:rsidRDefault="00AD3771" w:rsidP="00AD3771">
      <w:pPr>
        <w:tabs>
          <w:tab w:val="left" w:pos="567"/>
          <w:tab w:val="left" w:pos="3765"/>
        </w:tabs>
        <w:rPr>
          <w:rFonts w:cs="Arial"/>
          <w:lang w:eastAsia="en-GB"/>
        </w:rPr>
      </w:pPr>
    </w:p>
    <w:p w14:paraId="617B1740" w14:textId="4709F413" w:rsidR="00AD3771" w:rsidRPr="00035583" w:rsidRDefault="00035583" w:rsidP="00AD3771">
      <w:pPr>
        <w:tabs>
          <w:tab w:val="left" w:pos="567"/>
          <w:tab w:val="left" w:pos="3765"/>
        </w:tabs>
        <w:rPr>
          <w:rFonts w:cs="Arial"/>
          <w:lang w:eastAsia="en-GB"/>
        </w:rPr>
      </w:pPr>
      <w:r>
        <w:rPr>
          <w:rFonts w:cs="Arial"/>
          <w:lang w:eastAsia="en-GB"/>
        </w:rPr>
        <w:t xml:space="preserve">2.18 </w:t>
      </w:r>
      <w:r w:rsidR="00AD3771" w:rsidRPr="00035583">
        <w:rPr>
          <w:rFonts w:cs="Arial"/>
          <w:lang w:eastAsia="en-GB"/>
        </w:rPr>
        <w:t>In the absence of such evidence, the Council considers that the general benefit of providing accessible accommodation should be afforded positive but proportionate weight. It should not be treated as outweighing the identified conflict with the development plan without further evidence of the scale and nature of the claimed need.</w:t>
      </w:r>
    </w:p>
    <w:p w14:paraId="4A37D754" w14:textId="77777777" w:rsidR="00AD3771" w:rsidRPr="00035583" w:rsidRDefault="00AD3771" w:rsidP="00AD3771">
      <w:pPr>
        <w:tabs>
          <w:tab w:val="left" w:pos="567"/>
          <w:tab w:val="left" w:pos="3765"/>
        </w:tabs>
        <w:rPr>
          <w:rFonts w:cs="Arial"/>
          <w:lang w:eastAsia="en-GB"/>
        </w:rPr>
      </w:pPr>
    </w:p>
    <w:p w14:paraId="5B4C8CA1" w14:textId="77777777" w:rsidR="00AD3771" w:rsidRPr="00035583" w:rsidRDefault="00AD3771" w:rsidP="00AD3771">
      <w:pPr>
        <w:tabs>
          <w:tab w:val="left" w:pos="567"/>
          <w:tab w:val="left" w:pos="3765"/>
        </w:tabs>
        <w:rPr>
          <w:rFonts w:cs="Arial"/>
          <w:lang w:eastAsia="en-GB"/>
        </w:rPr>
      </w:pPr>
      <w:r w:rsidRPr="00035583">
        <w:rPr>
          <w:rFonts w:cs="Arial"/>
          <w:lang w:eastAsia="en-GB"/>
        </w:rPr>
        <w:t>Previous Appeal Decisions</w:t>
      </w:r>
    </w:p>
    <w:p w14:paraId="22BBD189" w14:textId="77777777" w:rsidR="00AD3771" w:rsidRPr="00035583" w:rsidRDefault="00AD3771" w:rsidP="00AD3771">
      <w:pPr>
        <w:tabs>
          <w:tab w:val="left" w:pos="567"/>
          <w:tab w:val="left" w:pos="3765"/>
        </w:tabs>
        <w:rPr>
          <w:rFonts w:cs="Arial"/>
          <w:lang w:eastAsia="en-GB"/>
        </w:rPr>
      </w:pPr>
    </w:p>
    <w:p w14:paraId="1A622E78" w14:textId="51650D41" w:rsidR="00AD3771" w:rsidRPr="00035583" w:rsidRDefault="00035583" w:rsidP="00AD3771">
      <w:pPr>
        <w:tabs>
          <w:tab w:val="left" w:pos="567"/>
          <w:tab w:val="left" w:pos="3765"/>
        </w:tabs>
        <w:rPr>
          <w:rFonts w:cs="Arial"/>
          <w:lang w:eastAsia="en-GB"/>
        </w:rPr>
      </w:pPr>
      <w:r>
        <w:rPr>
          <w:rFonts w:cs="Arial"/>
          <w:lang w:eastAsia="en-GB"/>
        </w:rPr>
        <w:t>2.19</w:t>
      </w:r>
      <w:r w:rsidR="00AD3771" w:rsidRPr="00035583">
        <w:rPr>
          <w:rFonts w:cs="Arial"/>
          <w:lang w:eastAsia="en-GB"/>
        </w:rPr>
        <w:t xml:space="preserve"> The appellant seeks to distinguish the appeal decisions cited by the Council concerning 28 Station Approach and 23 Skipton Drive on the basis that those cases involved subdivision into self-contained flats rather than an HMO.</w:t>
      </w:r>
    </w:p>
    <w:p w14:paraId="439D5FD3" w14:textId="77777777" w:rsidR="00AD3771" w:rsidRPr="00035583" w:rsidRDefault="00AD3771" w:rsidP="00AD3771">
      <w:pPr>
        <w:tabs>
          <w:tab w:val="left" w:pos="567"/>
          <w:tab w:val="left" w:pos="3765"/>
        </w:tabs>
        <w:rPr>
          <w:rFonts w:cs="Arial"/>
          <w:lang w:eastAsia="en-GB"/>
        </w:rPr>
      </w:pPr>
    </w:p>
    <w:p w14:paraId="0771FE44" w14:textId="2830B7A8" w:rsidR="00AD3771" w:rsidRPr="00035583" w:rsidRDefault="00035583" w:rsidP="00AD3771">
      <w:pPr>
        <w:tabs>
          <w:tab w:val="left" w:pos="567"/>
          <w:tab w:val="left" w:pos="3765"/>
        </w:tabs>
        <w:rPr>
          <w:rFonts w:cs="Arial"/>
          <w:lang w:eastAsia="en-GB"/>
        </w:rPr>
      </w:pPr>
      <w:r>
        <w:rPr>
          <w:rFonts w:cs="Arial"/>
          <w:lang w:eastAsia="en-GB"/>
        </w:rPr>
        <w:t>2.20</w:t>
      </w:r>
      <w:r w:rsidR="00AD3771" w:rsidRPr="00035583">
        <w:rPr>
          <w:rFonts w:cs="Arial"/>
          <w:lang w:eastAsia="en-GB"/>
        </w:rPr>
        <w:t xml:space="preserve"> The Council accepts that the circumstances of those appeals are not identical to the current proposal. They were not cited as direct precedents determining the acceptability of every form of residential conversion.</w:t>
      </w:r>
    </w:p>
    <w:p w14:paraId="3B343DA9" w14:textId="77777777" w:rsidR="00AD3771" w:rsidRPr="00035583" w:rsidRDefault="00AD3771" w:rsidP="00AD3771">
      <w:pPr>
        <w:tabs>
          <w:tab w:val="left" w:pos="567"/>
          <w:tab w:val="left" w:pos="3765"/>
        </w:tabs>
        <w:rPr>
          <w:rFonts w:cs="Arial"/>
          <w:lang w:eastAsia="en-GB"/>
        </w:rPr>
      </w:pPr>
    </w:p>
    <w:p w14:paraId="5E2E56C2" w14:textId="59B34683" w:rsidR="00AD3771" w:rsidRPr="00035583" w:rsidRDefault="00035583" w:rsidP="00AD3771">
      <w:pPr>
        <w:tabs>
          <w:tab w:val="left" w:pos="567"/>
          <w:tab w:val="left" w:pos="3765"/>
        </w:tabs>
        <w:rPr>
          <w:rFonts w:cs="Arial"/>
          <w:lang w:eastAsia="en-GB"/>
        </w:rPr>
      </w:pPr>
      <w:r>
        <w:rPr>
          <w:rFonts w:cs="Arial"/>
          <w:lang w:eastAsia="en-GB"/>
        </w:rPr>
        <w:t>2.21</w:t>
      </w:r>
      <w:r w:rsidR="00AD3771" w:rsidRPr="00035583">
        <w:rPr>
          <w:rFonts w:cs="Arial"/>
          <w:lang w:eastAsia="en-GB"/>
        </w:rPr>
        <w:t xml:space="preserve"> However, the decisions remain relevant insofar as they demonstrate the weight that Inspectors have previously attributed to the protection of family-sized housing in Hillingdon where proposals would reduce the availability of such accommodation without adequate justification.</w:t>
      </w:r>
    </w:p>
    <w:p w14:paraId="32C32C91" w14:textId="77777777" w:rsidR="00AD3771" w:rsidRPr="00035583" w:rsidRDefault="00AD3771" w:rsidP="00AD3771">
      <w:pPr>
        <w:tabs>
          <w:tab w:val="left" w:pos="567"/>
          <w:tab w:val="left" w:pos="3765"/>
        </w:tabs>
        <w:rPr>
          <w:rFonts w:cs="Arial"/>
          <w:lang w:eastAsia="en-GB"/>
        </w:rPr>
      </w:pPr>
    </w:p>
    <w:p w14:paraId="04917339" w14:textId="5FAB6C8A" w:rsidR="00AD3771" w:rsidRPr="00035583" w:rsidRDefault="00035583" w:rsidP="00AD3771">
      <w:pPr>
        <w:tabs>
          <w:tab w:val="left" w:pos="567"/>
          <w:tab w:val="left" w:pos="3765"/>
        </w:tabs>
        <w:rPr>
          <w:rFonts w:cs="Arial"/>
          <w:lang w:eastAsia="en-GB"/>
        </w:rPr>
      </w:pPr>
      <w:r>
        <w:rPr>
          <w:rFonts w:cs="Arial"/>
          <w:lang w:eastAsia="en-GB"/>
        </w:rPr>
        <w:t>2.22</w:t>
      </w:r>
      <w:r w:rsidR="00AD3771" w:rsidRPr="00035583">
        <w:rPr>
          <w:rFonts w:cs="Arial"/>
          <w:lang w:eastAsia="en-GB"/>
        </w:rPr>
        <w:t xml:space="preserve"> The relevant question remains whether the loss of this </w:t>
      </w:r>
      <w:proofErr w:type="gramStart"/>
      <w:r w:rsidR="00AD3771" w:rsidRPr="00035583">
        <w:rPr>
          <w:rFonts w:cs="Arial"/>
          <w:lang w:eastAsia="en-GB"/>
        </w:rPr>
        <w:t>particular three-bedroom</w:t>
      </w:r>
      <w:proofErr w:type="gramEnd"/>
      <w:r w:rsidR="00AD3771" w:rsidRPr="00035583">
        <w:rPr>
          <w:rFonts w:cs="Arial"/>
          <w:lang w:eastAsia="en-GB"/>
        </w:rPr>
        <w:t xml:space="preserve"> family-capable dwelling is justified having regard to the Council’s identified housing needs and the benefits of the proposed alternative.</w:t>
      </w:r>
    </w:p>
    <w:p w14:paraId="5AFDFC31" w14:textId="77777777" w:rsidR="00AD3771" w:rsidRPr="00035583" w:rsidRDefault="00AD3771" w:rsidP="00AD3771">
      <w:pPr>
        <w:tabs>
          <w:tab w:val="left" w:pos="567"/>
          <w:tab w:val="left" w:pos="3765"/>
        </w:tabs>
        <w:rPr>
          <w:rFonts w:cs="Arial"/>
          <w:lang w:eastAsia="en-GB"/>
        </w:rPr>
      </w:pPr>
    </w:p>
    <w:p w14:paraId="5CC0BD44" w14:textId="77777777" w:rsidR="00AD3771" w:rsidRPr="00035583" w:rsidRDefault="00AD3771" w:rsidP="00AD3771">
      <w:pPr>
        <w:tabs>
          <w:tab w:val="left" w:pos="567"/>
          <w:tab w:val="left" w:pos="3765"/>
        </w:tabs>
        <w:rPr>
          <w:rFonts w:cs="Arial"/>
          <w:lang w:eastAsia="en-GB"/>
        </w:rPr>
      </w:pPr>
      <w:r w:rsidRPr="00035583">
        <w:rPr>
          <w:rFonts w:cs="Arial"/>
          <w:lang w:eastAsia="en-GB"/>
        </w:rPr>
        <w:t>Policy DMH 5 and HMO Concentration</w:t>
      </w:r>
    </w:p>
    <w:p w14:paraId="6929AEE5" w14:textId="77777777" w:rsidR="00AD3771" w:rsidRPr="00035583" w:rsidRDefault="00AD3771" w:rsidP="00AD3771">
      <w:pPr>
        <w:tabs>
          <w:tab w:val="left" w:pos="567"/>
          <w:tab w:val="left" w:pos="3765"/>
        </w:tabs>
        <w:rPr>
          <w:rFonts w:cs="Arial"/>
          <w:lang w:eastAsia="en-GB"/>
        </w:rPr>
      </w:pPr>
    </w:p>
    <w:p w14:paraId="7F27752F" w14:textId="52490E8D" w:rsidR="00AD3771" w:rsidRPr="00035583" w:rsidRDefault="00035583" w:rsidP="00AD3771">
      <w:pPr>
        <w:tabs>
          <w:tab w:val="left" w:pos="567"/>
          <w:tab w:val="left" w:pos="3765"/>
        </w:tabs>
        <w:rPr>
          <w:rFonts w:cs="Arial"/>
          <w:lang w:eastAsia="en-GB"/>
        </w:rPr>
      </w:pPr>
      <w:r>
        <w:rPr>
          <w:rFonts w:cs="Arial"/>
          <w:lang w:eastAsia="en-GB"/>
        </w:rPr>
        <w:t>2.23</w:t>
      </w:r>
      <w:r w:rsidR="00AD3771" w:rsidRPr="00035583">
        <w:rPr>
          <w:rFonts w:cs="Arial"/>
          <w:lang w:eastAsia="en-GB"/>
        </w:rPr>
        <w:t xml:space="preserve"> The appellant correctly identifies that the officer report did not find substantive evidence of an overconcentration of HMOs in the immediate area. The Council also notes that the Highway Authority raised no objection to the retained parking provision.</w:t>
      </w:r>
    </w:p>
    <w:p w14:paraId="27C77ECB" w14:textId="77777777" w:rsidR="00AD3771" w:rsidRPr="00035583" w:rsidRDefault="00AD3771" w:rsidP="00AD3771">
      <w:pPr>
        <w:tabs>
          <w:tab w:val="left" w:pos="567"/>
          <w:tab w:val="left" w:pos="3765"/>
        </w:tabs>
        <w:rPr>
          <w:rFonts w:cs="Arial"/>
          <w:lang w:eastAsia="en-GB"/>
        </w:rPr>
      </w:pPr>
    </w:p>
    <w:p w14:paraId="11CD7662" w14:textId="7EEEE95B" w:rsidR="00AD3771" w:rsidRPr="00035583" w:rsidRDefault="00035583" w:rsidP="00AD3771">
      <w:pPr>
        <w:tabs>
          <w:tab w:val="left" w:pos="567"/>
          <w:tab w:val="left" w:pos="3765"/>
        </w:tabs>
        <w:rPr>
          <w:rFonts w:cs="Arial"/>
          <w:lang w:eastAsia="en-GB"/>
        </w:rPr>
      </w:pPr>
      <w:r>
        <w:rPr>
          <w:rFonts w:cs="Arial"/>
          <w:lang w:eastAsia="en-GB"/>
        </w:rPr>
        <w:t>2.24</w:t>
      </w:r>
      <w:r w:rsidR="00AD3771" w:rsidRPr="00035583">
        <w:rPr>
          <w:rFonts w:cs="Arial"/>
          <w:lang w:eastAsia="en-GB"/>
        </w:rPr>
        <w:t xml:space="preserve"> However, this does not mean that the proposal complies with Policy DMH 5 in all respects.</w:t>
      </w:r>
      <w:r w:rsidR="00F2386A">
        <w:rPr>
          <w:rFonts w:cs="Arial"/>
          <w:lang w:eastAsia="en-GB"/>
        </w:rPr>
        <w:t xml:space="preserve"> </w:t>
      </w:r>
      <w:r w:rsidR="00AD3771" w:rsidRPr="00035583">
        <w:rPr>
          <w:rFonts w:cs="Arial"/>
          <w:lang w:eastAsia="en-GB"/>
        </w:rPr>
        <w:t xml:space="preserve">Policy DMH 5 requires HMOs to provide satisfactory living conditions for future occupiers and not to have a detrimental impact upon adjoining properties. The absence of </w:t>
      </w:r>
      <w:r w:rsidR="00AD3771" w:rsidRPr="00035583">
        <w:rPr>
          <w:rFonts w:cs="Arial"/>
          <w:lang w:eastAsia="en-GB"/>
        </w:rPr>
        <w:lastRenderedPageBreak/>
        <w:t>an identified concentration of HMOs therefore addresses only one aspect of the policy assessment.</w:t>
      </w:r>
    </w:p>
    <w:p w14:paraId="12434773" w14:textId="77777777" w:rsidR="00AD3771" w:rsidRPr="00035583" w:rsidRDefault="00AD3771" w:rsidP="00AD3771">
      <w:pPr>
        <w:tabs>
          <w:tab w:val="left" w:pos="567"/>
          <w:tab w:val="left" w:pos="3765"/>
        </w:tabs>
        <w:rPr>
          <w:rFonts w:cs="Arial"/>
          <w:lang w:eastAsia="en-GB"/>
        </w:rPr>
      </w:pPr>
    </w:p>
    <w:p w14:paraId="3A18C2F2" w14:textId="47822743" w:rsidR="00AD3771" w:rsidRPr="00035583" w:rsidRDefault="00F2386A" w:rsidP="00AD3771">
      <w:pPr>
        <w:tabs>
          <w:tab w:val="left" w:pos="567"/>
          <w:tab w:val="left" w:pos="3765"/>
        </w:tabs>
        <w:rPr>
          <w:rFonts w:cs="Arial"/>
          <w:lang w:eastAsia="en-GB"/>
        </w:rPr>
      </w:pPr>
      <w:r>
        <w:rPr>
          <w:rFonts w:cs="Arial"/>
          <w:lang w:eastAsia="en-GB"/>
        </w:rPr>
        <w:t>2</w:t>
      </w:r>
      <w:r w:rsidR="00AD3771" w:rsidRPr="00035583">
        <w:rPr>
          <w:rFonts w:cs="Arial"/>
          <w:lang w:eastAsia="en-GB"/>
        </w:rPr>
        <w:t>.25 The officer report specifically concluded that the proposal failed to provide satisfactory living conditions for its future occupiers. This remains a substantive matter and forms part of both reasons for refusal.</w:t>
      </w:r>
    </w:p>
    <w:p w14:paraId="62FB9248" w14:textId="77777777" w:rsidR="00AD3771" w:rsidRPr="00035583" w:rsidRDefault="00AD3771" w:rsidP="00AD3771">
      <w:pPr>
        <w:tabs>
          <w:tab w:val="left" w:pos="567"/>
          <w:tab w:val="left" w:pos="3765"/>
        </w:tabs>
        <w:rPr>
          <w:rFonts w:cs="Arial"/>
          <w:lang w:eastAsia="en-GB"/>
        </w:rPr>
      </w:pPr>
    </w:p>
    <w:p w14:paraId="6827C239" w14:textId="2F742FA6" w:rsidR="00AD3771" w:rsidRPr="00035583" w:rsidRDefault="00F2386A" w:rsidP="00AD3771">
      <w:pPr>
        <w:tabs>
          <w:tab w:val="left" w:pos="567"/>
          <w:tab w:val="left" w:pos="3765"/>
        </w:tabs>
        <w:rPr>
          <w:rFonts w:cs="Arial"/>
          <w:lang w:eastAsia="en-GB"/>
        </w:rPr>
      </w:pPr>
      <w:r>
        <w:rPr>
          <w:rFonts w:cs="Arial"/>
          <w:lang w:eastAsia="en-GB"/>
        </w:rPr>
        <w:t>2</w:t>
      </w:r>
      <w:r w:rsidR="00AD3771" w:rsidRPr="00035583">
        <w:rPr>
          <w:rFonts w:cs="Arial"/>
          <w:lang w:eastAsia="en-GB"/>
        </w:rPr>
        <w:t>.26 Accordingly, the appellant’s argument that there is no evidence of overconcentration does not resolve the Council’s objection to the proposal.</w:t>
      </w:r>
    </w:p>
    <w:p w14:paraId="5852FE64" w14:textId="77777777" w:rsidR="00AD3771" w:rsidRPr="00035583" w:rsidRDefault="00AD3771" w:rsidP="00AD3771">
      <w:pPr>
        <w:tabs>
          <w:tab w:val="left" w:pos="567"/>
          <w:tab w:val="left" w:pos="3765"/>
        </w:tabs>
        <w:rPr>
          <w:rFonts w:cs="Arial"/>
          <w:lang w:eastAsia="en-GB"/>
        </w:rPr>
      </w:pPr>
    </w:p>
    <w:p w14:paraId="02F61B92" w14:textId="53F8CCEA" w:rsidR="00AD3771" w:rsidRPr="00F2386A" w:rsidRDefault="00AD3771" w:rsidP="00AD3771">
      <w:pPr>
        <w:tabs>
          <w:tab w:val="left" w:pos="567"/>
          <w:tab w:val="left" w:pos="3765"/>
        </w:tabs>
        <w:rPr>
          <w:rFonts w:cs="Arial"/>
          <w:b/>
          <w:bCs/>
          <w:lang w:eastAsia="en-GB"/>
        </w:rPr>
      </w:pPr>
      <w:r w:rsidRPr="00F2386A">
        <w:rPr>
          <w:rFonts w:cs="Arial"/>
          <w:b/>
          <w:bCs/>
          <w:lang w:eastAsia="en-GB"/>
        </w:rPr>
        <w:t>RESPONSE TO REASON FOR REFUSAL 2 – LIVING CONDITIONS</w:t>
      </w:r>
      <w:r w:rsidR="00852E83" w:rsidRPr="00F2386A">
        <w:rPr>
          <w:rFonts w:cs="Arial"/>
          <w:b/>
          <w:bCs/>
          <w:lang w:eastAsia="en-GB"/>
        </w:rPr>
        <w:br/>
      </w:r>
    </w:p>
    <w:p w14:paraId="368C7054" w14:textId="77777777" w:rsidR="00AD3771" w:rsidRPr="00035583" w:rsidRDefault="00AD3771" w:rsidP="00AD3771">
      <w:pPr>
        <w:tabs>
          <w:tab w:val="left" w:pos="567"/>
          <w:tab w:val="left" w:pos="3765"/>
        </w:tabs>
        <w:rPr>
          <w:rFonts w:cs="Arial"/>
          <w:lang w:eastAsia="en-GB"/>
        </w:rPr>
      </w:pPr>
      <w:r w:rsidRPr="00035583">
        <w:rPr>
          <w:rFonts w:cs="Arial"/>
          <w:lang w:eastAsia="en-GB"/>
        </w:rPr>
        <w:t>General Standard of Accommodation</w:t>
      </w:r>
    </w:p>
    <w:p w14:paraId="44BE1A83" w14:textId="77777777" w:rsidR="00AD3771" w:rsidRPr="00035583" w:rsidRDefault="00AD3771" w:rsidP="00AD3771">
      <w:pPr>
        <w:tabs>
          <w:tab w:val="left" w:pos="567"/>
          <w:tab w:val="left" w:pos="3765"/>
        </w:tabs>
        <w:rPr>
          <w:rFonts w:cs="Arial"/>
          <w:lang w:eastAsia="en-GB"/>
        </w:rPr>
      </w:pPr>
    </w:p>
    <w:p w14:paraId="4C0BF5D2" w14:textId="3CE0C21F" w:rsidR="00AD3771" w:rsidRPr="00035583" w:rsidRDefault="00F2386A" w:rsidP="00AD3771">
      <w:pPr>
        <w:tabs>
          <w:tab w:val="left" w:pos="567"/>
          <w:tab w:val="left" w:pos="3765"/>
        </w:tabs>
        <w:rPr>
          <w:rFonts w:cs="Arial"/>
          <w:lang w:eastAsia="en-GB"/>
        </w:rPr>
      </w:pPr>
      <w:r>
        <w:rPr>
          <w:rFonts w:cs="Arial"/>
          <w:lang w:eastAsia="en-GB"/>
        </w:rPr>
        <w:t>2.27</w:t>
      </w:r>
      <w:r w:rsidR="00AD3771" w:rsidRPr="00035583">
        <w:rPr>
          <w:rFonts w:cs="Arial"/>
          <w:lang w:eastAsia="en-GB"/>
        </w:rPr>
        <w:t xml:space="preserve"> The appellant argues that the Council’s concerns regarding the internal layout are based on assumptions rather than evidence and that the specialist nature of the accommodation has not been properly considered.</w:t>
      </w:r>
    </w:p>
    <w:p w14:paraId="6EF3E575" w14:textId="77777777" w:rsidR="00AD3771" w:rsidRPr="00035583" w:rsidRDefault="00AD3771" w:rsidP="00AD3771">
      <w:pPr>
        <w:tabs>
          <w:tab w:val="left" w:pos="567"/>
          <w:tab w:val="left" w:pos="3765"/>
        </w:tabs>
        <w:rPr>
          <w:rFonts w:cs="Arial"/>
          <w:lang w:eastAsia="en-GB"/>
        </w:rPr>
      </w:pPr>
    </w:p>
    <w:p w14:paraId="1DB6B7D6" w14:textId="096EDF53" w:rsidR="00AD3771" w:rsidRPr="00035583" w:rsidRDefault="00F2386A" w:rsidP="00AD3771">
      <w:pPr>
        <w:tabs>
          <w:tab w:val="left" w:pos="567"/>
          <w:tab w:val="left" w:pos="3765"/>
        </w:tabs>
        <w:rPr>
          <w:rFonts w:cs="Arial"/>
          <w:lang w:eastAsia="en-GB"/>
        </w:rPr>
      </w:pPr>
      <w:r>
        <w:rPr>
          <w:rFonts w:cs="Arial"/>
          <w:lang w:eastAsia="en-GB"/>
        </w:rPr>
        <w:t>2.28</w:t>
      </w:r>
      <w:r w:rsidR="00AD3771" w:rsidRPr="00035583">
        <w:rPr>
          <w:rFonts w:cs="Arial"/>
          <w:lang w:eastAsia="en-GB"/>
        </w:rPr>
        <w:t xml:space="preserve"> The officer’s assessment considered the </w:t>
      </w:r>
      <w:proofErr w:type="gramStart"/>
      <w:r w:rsidR="00AD3771" w:rsidRPr="00035583">
        <w:rPr>
          <w:rFonts w:cs="Arial"/>
          <w:lang w:eastAsia="en-GB"/>
        </w:rPr>
        <w:t>accommodation as a whole</w:t>
      </w:r>
      <w:proofErr w:type="gramEnd"/>
      <w:r w:rsidR="00AD3771" w:rsidRPr="00035583">
        <w:rPr>
          <w:rFonts w:cs="Arial"/>
          <w:lang w:eastAsia="en-GB"/>
        </w:rPr>
        <w:t>. It acknowledged that the four bedrooms would exceed minimum quantitative bedroom standards, with rooms measuring approximately 16.2sqm to 18.6sqm. However, it correctly recognised that compliance with minimum bedroom size requirements does not, by itself, establish that an HMO provides a satisfactory standard of accommodation.</w:t>
      </w:r>
    </w:p>
    <w:p w14:paraId="05B749D0" w14:textId="77777777" w:rsidR="00AD3771" w:rsidRPr="00035583" w:rsidRDefault="00AD3771" w:rsidP="00AD3771">
      <w:pPr>
        <w:tabs>
          <w:tab w:val="left" w:pos="567"/>
          <w:tab w:val="left" w:pos="3765"/>
        </w:tabs>
        <w:rPr>
          <w:rFonts w:cs="Arial"/>
          <w:lang w:eastAsia="en-GB"/>
        </w:rPr>
      </w:pPr>
    </w:p>
    <w:p w14:paraId="513D56A6" w14:textId="549539AF" w:rsidR="00AD3771" w:rsidRPr="00035583" w:rsidRDefault="00F2386A" w:rsidP="00AD3771">
      <w:pPr>
        <w:tabs>
          <w:tab w:val="left" w:pos="567"/>
          <w:tab w:val="left" w:pos="3765"/>
        </w:tabs>
        <w:rPr>
          <w:rFonts w:cs="Arial"/>
          <w:lang w:eastAsia="en-GB"/>
        </w:rPr>
      </w:pPr>
      <w:r>
        <w:rPr>
          <w:rFonts w:cs="Arial"/>
          <w:lang w:eastAsia="en-GB"/>
        </w:rPr>
        <w:t>2.29</w:t>
      </w:r>
      <w:r w:rsidR="00AD3771" w:rsidRPr="00035583">
        <w:rPr>
          <w:rFonts w:cs="Arial"/>
          <w:lang w:eastAsia="en-GB"/>
        </w:rPr>
        <w:t xml:space="preserve"> The central concern is the quality and functionality of the shared </w:t>
      </w:r>
      <w:proofErr w:type="spellStart"/>
      <w:proofErr w:type="gramStart"/>
      <w:r w:rsidR="00AD3771" w:rsidRPr="00035583">
        <w:rPr>
          <w:rFonts w:cs="Arial"/>
          <w:lang w:eastAsia="en-GB"/>
        </w:rPr>
        <w:t>accommodation.The</w:t>
      </w:r>
      <w:proofErr w:type="spellEnd"/>
      <w:proofErr w:type="gramEnd"/>
      <w:r w:rsidR="00AD3771" w:rsidRPr="00035583">
        <w:rPr>
          <w:rFonts w:cs="Arial"/>
          <w:lang w:eastAsia="en-GB"/>
        </w:rPr>
        <w:t xml:space="preserve"> proposal provides a shared kitchen of approximately 7.5sqm but no separate communal living or dining room. The Council considers this to be a significant shortcoming in a four-person HMO, particularly where the bedrooms are intended to provide private accommodation rather than functioning as substitutes for communal space.</w:t>
      </w:r>
    </w:p>
    <w:p w14:paraId="3931F3A6" w14:textId="77777777" w:rsidR="00AD3771" w:rsidRPr="00035583" w:rsidRDefault="00AD3771" w:rsidP="00AD3771">
      <w:pPr>
        <w:tabs>
          <w:tab w:val="left" w:pos="567"/>
          <w:tab w:val="left" w:pos="3765"/>
        </w:tabs>
        <w:rPr>
          <w:rFonts w:cs="Arial"/>
          <w:lang w:eastAsia="en-GB"/>
        </w:rPr>
      </w:pPr>
    </w:p>
    <w:p w14:paraId="4C5CFCDF" w14:textId="25D55B58" w:rsidR="00AD3771" w:rsidRPr="00035583" w:rsidRDefault="00F2386A" w:rsidP="00AD3771">
      <w:pPr>
        <w:tabs>
          <w:tab w:val="left" w:pos="567"/>
          <w:tab w:val="left" w:pos="3765"/>
        </w:tabs>
        <w:rPr>
          <w:rFonts w:cs="Arial"/>
          <w:lang w:eastAsia="en-GB"/>
        </w:rPr>
      </w:pPr>
      <w:r>
        <w:rPr>
          <w:rFonts w:cs="Arial"/>
          <w:lang w:eastAsia="en-GB"/>
        </w:rPr>
        <w:t>2.30</w:t>
      </w:r>
      <w:r w:rsidR="00AD3771" w:rsidRPr="00035583">
        <w:rPr>
          <w:rFonts w:cs="Arial"/>
          <w:lang w:eastAsia="en-GB"/>
        </w:rPr>
        <w:t xml:space="preserve"> The appellant argues that the kitchen can operate as the principal communal hub. The Council does not consider that this adequately addresses the concern. The question is not whether occupiers could physically use the kitchen for social interaction, but whether the overall accommodation provides a satisfactory and usable communal environment.</w:t>
      </w:r>
    </w:p>
    <w:p w14:paraId="265DE17D" w14:textId="77777777" w:rsidR="00AD3771" w:rsidRPr="00035583" w:rsidRDefault="00AD3771" w:rsidP="00AD3771">
      <w:pPr>
        <w:tabs>
          <w:tab w:val="left" w:pos="567"/>
          <w:tab w:val="left" w:pos="3765"/>
        </w:tabs>
        <w:rPr>
          <w:rFonts w:cs="Arial"/>
          <w:lang w:eastAsia="en-GB"/>
        </w:rPr>
      </w:pPr>
    </w:p>
    <w:p w14:paraId="7AA03027" w14:textId="01E3F016" w:rsidR="00AD3771" w:rsidRPr="00035583" w:rsidRDefault="00F2386A" w:rsidP="00AD3771">
      <w:pPr>
        <w:tabs>
          <w:tab w:val="left" w:pos="567"/>
          <w:tab w:val="left" w:pos="3765"/>
        </w:tabs>
        <w:rPr>
          <w:rFonts w:cs="Arial"/>
          <w:lang w:eastAsia="en-GB"/>
        </w:rPr>
      </w:pPr>
      <w:r>
        <w:rPr>
          <w:rFonts w:cs="Arial"/>
          <w:lang w:eastAsia="en-GB"/>
        </w:rPr>
        <w:t>2.31</w:t>
      </w:r>
      <w:r w:rsidR="00AD3771" w:rsidRPr="00035583">
        <w:rPr>
          <w:rFonts w:cs="Arial"/>
          <w:lang w:eastAsia="en-GB"/>
        </w:rPr>
        <w:t xml:space="preserve"> The appellant’s own statement reinforces the point that the kitchen is intended to perform multiple functions, including food preparation, socialising and interaction. This reliance on the kitchen as the principal communal space does not demonstrate that the accommodation would provide an adequate living/dining environment.</w:t>
      </w:r>
    </w:p>
    <w:p w14:paraId="6E644DC3" w14:textId="77777777" w:rsidR="00AD3771" w:rsidRPr="00035583" w:rsidRDefault="00AD3771" w:rsidP="00AD3771">
      <w:pPr>
        <w:tabs>
          <w:tab w:val="left" w:pos="567"/>
          <w:tab w:val="left" w:pos="3765"/>
        </w:tabs>
        <w:rPr>
          <w:rFonts w:cs="Arial"/>
          <w:lang w:eastAsia="en-GB"/>
        </w:rPr>
      </w:pPr>
    </w:p>
    <w:p w14:paraId="19082CF3" w14:textId="77777777" w:rsidR="00AD3771" w:rsidRPr="00035583" w:rsidRDefault="00AD3771" w:rsidP="00AD3771">
      <w:pPr>
        <w:tabs>
          <w:tab w:val="left" w:pos="567"/>
          <w:tab w:val="left" w:pos="3765"/>
        </w:tabs>
        <w:rPr>
          <w:rFonts w:cs="Arial"/>
          <w:lang w:eastAsia="en-GB"/>
        </w:rPr>
      </w:pPr>
      <w:r w:rsidRPr="00035583">
        <w:rPr>
          <w:rFonts w:cs="Arial"/>
          <w:lang w:eastAsia="en-GB"/>
        </w:rPr>
        <w:t>Relationship Between Bedrooms 3 and 4 and the Rear Garden</w:t>
      </w:r>
    </w:p>
    <w:p w14:paraId="69B12A89" w14:textId="77777777" w:rsidR="00AD3771" w:rsidRPr="00035583" w:rsidRDefault="00AD3771" w:rsidP="00AD3771">
      <w:pPr>
        <w:tabs>
          <w:tab w:val="left" w:pos="567"/>
          <w:tab w:val="left" w:pos="3765"/>
        </w:tabs>
        <w:rPr>
          <w:rFonts w:cs="Arial"/>
          <w:lang w:eastAsia="en-GB"/>
        </w:rPr>
      </w:pPr>
    </w:p>
    <w:p w14:paraId="4CB9B5D1" w14:textId="707B2241" w:rsidR="00AD3771" w:rsidRPr="00035583" w:rsidRDefault="00F2386A" w:rsidP="00AD3771">
      <w:pPr>
        <w:tabs>
          <w:tab w:val="left" w:pos="567"/>
          <w:tab w:val="left" w:pos="3765"/>
        </w:tabs>
        <w:rPr>
          <w:rFonts w:cs="Arial"/>
          <w:lang w:eastAsia="en-GB"/>
        </w:rPr>
      </w:pPr>
      <w:r>
        <w:rPr>
          <w:rFonts w:cs="Arial"/>
          <w:lang w:eastAsia="en-GB"/>
        </w:rPr>
        <w:t>2.32</w:t>
      </w:r>
      <w:r w:rsidR="00AD3771" w:rsidRPr="00035583">
        <w:rPr>
          <w:rFonts w:cs="Arial"/>
          <w:lang w:eastAsia="en-GB"/>
        </w:rPr>
        <w:t xml:space="preserve"> The Council’s second concern relates specifically to the relationship between Bedrooms 3 and 4 and the shared rear garden.</w:t>
      </w:r>
    </w:p>
    <w:p w14:paraId="0B80E9EC" w14:textId="77777777" w:rsidR="00AD3771" w:rsidRPr="00035583" w:rsidRDefault="00AD3771" w:rsidP="00AD3771">
      <w:pPr>
        <w:tabs>
          <w:tab w:val="left" w:pos="567"/>
          <w:tab w:val="left" w:pos="3765"/>
        </w:tabs>
        <w:rPr>
          <w:rFonts w:cs="Arial"/>
          <w:lang w:eastAsia="en-GB"/>
        </w:rPr>
      </w:pPr>
    </w:p>
    <w:p w14:paraId="6B9AB1C9" w14:textId="5EEEC411" w:rsidR="00AD3771" w:rsidRPr="00035583" w:rsidRDefault="00F2386A" w:rsidP="00AD3771">
      <w:pPr>
        <w:tabs>
          <w:tab w:val="left" w:pos="567"/>
          <w:tab w:val="left" w:pos="3765"/>
        </w:tabs>
        <w:rPr>
          <w:rFonts w:cs="Arial"/>
          <w:lang w:eastAsia="en-GB"/>
        </w:rPr>
      </w:pPr>
      <w:r>
        <w:rPr>
          <w:rFonts w:cs="Arial"/>
          <w:lang w:eastAsia="en-GB"/>
        </w:rPr>
        <w:t>2.33</w:t>
      </w:r>
      <w:r w:rsidR="00AD3771" w:rsidRPr="00035583">
        <w:rPr>
          <w:rFonts w:cs="Arial"/>
          <w:lang w:eastAsia="en-GB"/>
        </w:rPr>
        <w:t xml:space="preserve"> In the absence of meaningful communal internal space, the Council considers that the rear garden is likely to become an important communal and social area for the occupiers.</w:t>
      </w:r>
    </w:p>
    <w:p w14:paraId="28A36EEC" w14:textId="77777777" w:rsidR="00AD3771" w:rsidRPr="00035583" w:rsidRDefault="00AD3771" w:rsidP="00AD3771">
      <w:pPr>
        <w:tabs>
          <w:tab w:val="left" w:pos="567"/>
          <w:tab w:val="left" w:pos="3765"/>
        </w:tabs>
        <w:rPr>
          <w:rFonts w:cs="Arial"/>
          <w:lang w:eastAsia="en-GB"/>
        </w:rPr>
      </w:pPr>
    </w:p>
    <w:p w14:paraId="20E313CD" w14:textId="504A2299" w:rsidR="00AD3771" w:rsidRPr="00035583" w:rsidRDefault="00F2386A" w:rsidP="00AD3771">
      <w:pPr>
        <w:tabs>
          <w:tab w:val="left" w:pos="567"/>
          <w:tab w:val="left" w:pos="3765"/>
        </w:tabs>
        <w:rPr>
          <w:rFonts w:cs="Arial"/>
          <w:lang w:eastAsia="en-GB"/>
        </w:rPr>
      </w:pPr>
      <w:r>
        <w:rPr>
          <w:rFonts w:cs="Arial"/>
          <w:lang w:eastAsia="en-GB"/>
        </w:rPr>
        <w:t>2.34</w:t>
      </w:r>
      <w:r w:rsidR="00AD3771" w:rsidRPr="00035583">
        <w:rPr>
          <w:rFonts w:cs="Arial"/>
          <w:lang w:eastAsia="en-GB"/>
        </w:rPr>
        <w:t xml:space="preserve"> Bedrooms 3 and 4 have a direct relationship with this shared garden. The Council’s concern is therefore that the use of the garden as a communal space would result in an </w:t>
      </w:r>
      <w:r w:rsidR="00AD3771" w:rsidRPr="00035583">
        <w:rPr>
          <w:rFonts w:cs="Arial"/>
          <w:lang w:eastAsia="en-GB"/>
        </w:rPr>
        <w:lastRenderedPageBreak/>
        <w:t>unacceptable relationship between private bedroom accommodation and communal activity, including potential noise, disturbance and loss of privacy.</w:t>
      </w:r>
    </w:p>
    <w:p w14:paraId="427B5E90" w14:textId="77777777" w:rsidR="00AD3771" w:rsidRPr="00035583" w:rsidRDefault="00AD3771" w:rsidP="00AD3771">
      <w:pPr>
        <w:tabs>
          <w:tab w:val="left" w:pos="567"/>
          <w:tab w:val="left" w:pos="3765"/>
        </w:tabs>
        <w:rPr>
          <w:rFonts w:cs="Arial"/>
          <w:lang w:eastAsia="en-GB"/>
        </w:rPr>
      </w:pPr>
    </w:p>
    <w:p w14:paraId="11E791E8" w14:textId="540E790E" w:rsidR="00AD3771" w:rsidRPr="00035583" w:rsidRDefault="00F2386A" w:rsidP="00AD3771">
      <w:pPr>
        <w:tabs>
          <w:tab w:val="left" w:pos="567"/>
          <w:tab w:val="left" w:pos="3765"/>
        </w:tabs>
        <w:rPr>
          <w:rFonts w:cs="Arial"/>
          <w:lang w:eastAsia="en-GB"/>
        </w:rPr>
      </w:pPr>
      <w:r>
        <w:rPr>
          <w:rFonts w:cs="Arial"/>
          <w:lang w:eastAsia="en-GB"/>
        </w:rPr>
        <w:t>2.35</w:t>
      </w:r>
      <w:r w:rsidR="00AD3771" w:rsidRPr="00035583">
        <w:rPr>
          <w:rFonts w:cs="Arial"/>
          <w:lang w:eastAsia="en-GB"/>
        </w:rPr>
        <w:t xml:space="preserve"> The appellant describes this concern as speculative and argues that shared gardens are common in other forms of residential development.</w:t>
      </w:r>
    </w:p>
    <w:p w14:paraId="7BD531B7" w14:textId="77777777" w:rsidR="00AD3771" w:rsidRPr="00035583" w:rsidRDefault="00AD3771" w:rsidP="00AD3771">
      <w:pPr>
        <w:tabs>
          <w:tab w:val="left" w:pos="567"/>
          <w:tab w:val="left" w:pos="3765"/>
        </w:tabs>
        <w:rPr>
          <w:rFonts w:cs="Arial"/>
          <w:lang w:eastAsia="en-GB"/>
        </w:rPr>
      </w:pPr>
    </w:p>
    <w:p w14:paraId="3CE141C7" w14:textId="6F67F23A" w:rsidR="00AD3771" w:rsidRPr="00035583" w:rsidRDefault="00F2386A" w:rsidP="00AD3771">
      <w:pPr>
        <w:tabs>
          <w:tab w:val="left" w:pos="567"/>
          <w:tab w:val="left" w:pos="3765"/>
        </w:tabs>
        <w:rPr>
          <w:rFonts w:cs="Arial"/>
          <w:lang w:eastAsia="en-GB"/>
        </w:rPr>
      </w:pPr>
      <w:r>
        <w:rPr>
          <w:rFonts w:cs="Arial"/>
          <w:lang w:eastAsia="en-GB"/>
        </w:rPr>
        <w:t>2.36</w:t>
      </w:r>
      <w:r w:rsidR="0052115A" w:rsidRPr="00035583">
        <w:rPr>
          <w:rFonts w:cs="Arial"/>
          <w:lang w:eastAsia="en-GB"/>
        </w:rPr>
        <w:t xml:space="preserve"> </w:t>
      </w:r>
      <w:r w:rsidR="00AD3771" w:rsidRPr="00035583">
        <w:rPr>
          <w:rFonts w:cs="Arial"/>
          <w:lang w:eastAsia="en-GB"/>
        </w:rPr>
        <w:t xml:space="preserve">The acceptability of communal outdoor space depends upon the specific relationship between the space, the proposed accommodation and the likely pattern of use. The fact that communal gardens exist elsewhere does not establish that this </w:t>
      </w:r>
      <w:proofErr w:type="gramStart"/>
      <w:r w:rsidR="00AD3771" w:rsidRPr="00035583">
        <w:rPr>
          <w:rFonts w:cs="Arial"/>
          <w:lang w:eastAsia="en-GB"/>
        </w:rPr>
        <w:t>particular arrangement</w:t>
      </w:r>
      <w:proofErr w:type="gramEnd"/>
      <w:r w:rsidR="00AD3771" w:rsidRPr="00035583">
        <w:rPr>
          <w:rFonts w:cs="Arial"/>
          <w:lang w:eastAsia="en-GB"/>
        </w:rPr>
        <w:t xml:space="preserve"> provides a satisfactory standard of accommodation.</w:t>
      </w:r>
    </w:p>
    <w:p w14:paraId="6D047F57" w14:textId="77777777" w:rsidR="00F2386A" w:rsidRDefault="00F2386A" w:rsidP="00AD3771">
      <w:pPr>
        <w:tabs>
          <w:tab w:val="left" w:pos="567"/>
          <w:tab w:val="left" w:pos="3765"/>
        </w:tabs>
        <w:rPr>
          <w:rFonts w:cs="Arial"/>
          <w:lang w:eastAsia="en-GB"/>
        </w:rPr>
      </w:pPr>
    </w:p>
    <w:p w14:paraId="64899656" w14:textId="1A7BBA0B" w:rsidR="00AD3771" w:rsidRPr="00035583" w:rsidRDefault="00F2386A" w:rsidP="00AD3771">
      <w:pPr>
        <w:tabs>
          <w:tab w:val="left" w:pos="567"/>
          <w:tab w:val="left" w:pos="3765"/>
        </w:tabs>
        <w:rPr>
          <w:rFonts w:cs="Arial"/>
          <w:lang w:eastAsia="en-GB"/>
        </w:rPr>
      </w:pPr>
      <w:r>
        <w:rPr>
          <w:rFonts w:cs="Arial"/>
          <w:lang w:eastAsia="en-GB"/>
        </w:rPr>
        <w:t xml:space="preserve">2.37 </w:t>
      </w:r>
      <w:r w:rsidR="00AD3771" w:rsidRPr="00035583">
        <w:rPr>
          <w:rFonts w:cs="Arial"/>
          <w:lang w:eastAsia="en-GB"/>
        </w:rPr>
        <w:t>The concern is particularly relevant in this case because there is no separate communal living or dining room. The garden is therefore not simply supplementary amenity space; it is likely to perform a more significant communal function.</w:t>
      </w:r>
    </w:p>
    <w:p w14:paraId="0D5953D0" w14:textId="77777777" w:rsidR="00AD3771" w:rsidRPr="00035583" w:rsidRDefault="00AD3771" w:rsidP="00AD3771">
      <w:pPr>
        <w:tabs>
          <w:tab w:val="left" w:pos="567"/>
          <w:tab w:val="left" w:pos="3765"/>
        </w:tabs>
        <w:rPr>
          <w:rFonts w:cs="Arial"/>
          <w:lang w:eastAsia="en-GB"/>
        </w:rPr>
      </w:pPr>
    </w:p>
    <w:p w14:paraId="36F0FBA0" w14:textId="3C5AF3F5" w:rsidR="00AD3771" w:rsidRPr="00035583" w:rsidRDefault="00F2386A" w:rsidP="00AD3771">
      <w:pPr>
        <w:tabs>
          <w:tab w:val="left" w:pos="567"/>
          <w:tab w:val="left" w:pos="3765"/>
        </w:tabs>
        <w:rPr>
          <w:rFonts w:cs="Arial"/>
          <w:lang w:eastAsia="en-GB"/>
        </w:rPr>
      </w:pPr>
      <w:r>
        <w:rPr>
          <w:rFonts w:cs="Arial"/>
          <w:lang w:eastAsia="en-GB"/>
        </w:rPr>
        <w:t>2.38</w:t>
      </w:r>
      <w:r w:rsidR="00AD3771" w:rsidRPr="00035583">
        <w:rPr>
          <w:rFonts w:cs="Arial"/>
          <w:lang w:eastAsia="en-GB"/>
        </w:rPr>
        <w:t xml:space="preserve"> The Council's position is therefore not that overlooking a communal garden is inherently unacceptable. Rather, it is the combination of the limited internal communal accommodation and the direct relationship between Bedrooms 3 and 4 and the shared garden that results in the identified poor living conditions.</w:t>
      </w:r>
    </w:p>
    <w:p w14:paraId="55F1F148" w14:textId="77777777" w:rsidR="00AD3771" w:rsidRPr="00035583" w:rsidRDefault="00AD3771" w:rsidP="00AD3771">
      <w:pPr>
        <w:tabs>
          <w:tab w:val="left" w:pos="567"/>
          <w:tab w:val="left" w:pos="3765"/>
        </w:tabs>
        <w:rPr>
          <w:rFonts w:cs="Arial"/>
          <w:lang w:eastAsia="en-GB"/>
        </w:rPr>
      </w:pPr>
    </w:p>
    <w:p w14:paraId="3DC22DEC" w14:textId="77777777" w:rsidR="00AD3771" w:rsidRPr="00035583" w:rsidRDefault="00AD3771" w:rsidP="00AD3771">
      <w:pPr>
        <w:tabs>
          <w:tab w:val="left" w:pos="567"/>
          <w:tab w:val="left" w:pos="3765"/>
        </w:tabs>
        <w:rPr>
          <w:rFonts w:cs="Arial"/>
          <w:lang w:eastAsia="en-GB"/>
        </w:rPr>
      </w:pPr>
      <w:r w:rsidRPr="00035583">
        <w:rPr>
          <w:rFonts w:cs="Arial"/>
          <w:lang w:eastAsia="en-GB"/>
        </w:rPr>
        <w:t>Accessible Accommodation Does Not Remove the Amenity Requirement</w:t>
      </w:r>
    </w:p>
    <w:p w14:paraId="5D689D9C" w14:textId="77777777" w:rsidR="00AD3771" w:rsidRPr="00035583" w:rsidRDefault="00AD3771" w:rsidP="00AD3771">
      <w:pPr>
        <w:tabs>
          <w:tab w:val="left" w:pos="567"/>
          <w:tab w:val="left" w:pos="3765"/>
        </w:tabs>
        <w:rPr>
          <w:rFonts w:cs="Arial"/>
          <w:lang w:eastAsia="en-GB"/>
        </w:rPr>
      </w:pPr>
    </w:p>
    <w:p w14:paraId="11735293" w14:textId="49E54D25" w:rsidR="00AD3771" w:rsidRPr="00035583" w:rsidRDefault="00F2386A" w:rsidP="00AD3771">
      <w:pPr>
        <w:tabs>
          <w:tab w:val="left" w:pos="567"/>
          <w:tab w:val="left" w:pos="3765"/>
        </w:tabs>
        <w:rPr>
          <w:rFonts w:cs="Arial"/>
          <w:lang w:eastAsia="en-GB"/>
        </w:rPr>
      </w:pPr>
      <w:r>
        <w:rPr>
          <w:rFonts w:cs="Arial"/>
          <w:lang w:eastAsia="en-GB"/>
        </w:rPr>
        <w:t>2.39</w:t>
      </w:r>
      <w:r w:rsidR="00AD3771" w:rsidRPr="00035583">
        <w:rPr>
          <w:rFonts w:cs="Arial"/>
          <w:lang w:eastAsia="en-GB"/>
        </w:rPr>
        <w:t xml:space="preserve"> The Council fully recognises the importance of providing accessible housing. However, accessible accommodation must also provide an appropriate standard of day-to-day residential amenity.</w:t>
      </w:r>
    </w:p>
    <w:p w14:paraId="10339045" w14:textId="77777777" w:rsidR="00AD3771" w:rsidRPr="00035583" w:rsidRDefault="00AD3771" w:rsidP="00AD3771">
      <w:pPr>
        <w:tabs>
          <w:tab w:val="left" w:pos="567"/>
          <w:tab w:val="left" w:pos="3765"/>
        </w:tabs>
        <w:rPr>
          <w:rFonts w:cs="Arial"/>
          <w:lang w:eastAsia="en-GB"/>
        </w:rPr>
      </w:pPr>
    </w:p>
    <w:p w14:paraId="253269C1" w14:textId="259A3FD5" w:rsidR="00AD3771" w:rsidRPr="00035583" w:rsidRDefault="00F2386A" w:rsidP="00AD3771">
      <w:pPr>
        <w:tabs>
          <w:tab w:val="left" w:pos="567"/>
          <w:tab w:val="left" w:pos="3765"/>
        </w:tabs>
        <w:rPr>
          <w:rFonts w:cs="Arial"/>
          <w:lang w:eastAsia="en-GB"/>
        </w:rPr>
      </w:pPr>
      <w:r>
        <w:rPr>
          <w:rFonts w:cs="Arial"/>
          <w:lang w:eastAsia="en-GB"/>
        </w:rPr>
        <w:t>2.40</w:t>
      </w:r>
      <w:r w:rsidR="00AD3771" w:rsidRPr="00035583">
        <w:rPr>
          <w:rFonts w:cs="Arial"/>
          <w:lang w:eastAsia="en-GB"/>
        </w:rPr>
        <w:t xml:space="preserve"> The officer report expressly acknowledged that the proposed accessible nature of the accommodation weighs in favour of the development but concluded that accessibility alone does not overcome the shortcomings in communal space, privacy, outlook and general amenity.</w:t>
      </w:r>
    </w:p>
    <w:p w14:paraId="1A0FDDEB" w14:textId="77777777" w:rsidR="00AD3771" w:rsidRPr="00035583" w:rsidRDefault="00AD3771" w:rsidP="00AD3771">
      <w:pPr>
        <w:tabs>
          <w:tab w:val="left" w:pos="567"/>
          <w:tab w:val="left" w:pos="3765"/>
        </w:tabs>
        <w:rPr>
          <w:rFonts w:cs="Arial"/>
          <w:lang w:eastAsia="en-GB"/>
        </w:rPr>
      </w:pPr>
    </w:p>
    <w:p w14:paraId="2148EF29" w14:textId="136C3094" w:rsidR="00AD3771" w:rsidRPr="00035583" w:rsidRDefault="00F2386A" w:rsidP="00AD3771">
      <w:pPr>
        <w:tabs>
          <w:tab w:val="left" w:pos="567"/>
          <w:tab w:val="left" w:pos="3765"/>
        </w:tabs>
        <w:rPr>
          <w:rFonts w:cs="Arial"/>
          <w:lang w:eastAsia="en-GB"/>
        </w:rPr>
      </w:pPr>
      <w:r>
        <w:rPr>
          <w:rFonts w:cs="Arial"/>
          <w:lang w:eastAsia="en-GB"/>
        </w:rPr>
        <w:t>2.41</w:t>
      </w:r>
      <w:r w:rsidR="00AD3771" w:rsidRPr="00035583">
        <w:rPr>
          <w:rFonts w:cs="Arial"/>
          <w:lang w:eastAsia="en-GB"/>
        </w:rPr>
        <w:t xml:space="preserve"> The appellant places considerable emphasis on the size of the bedrooms and accessible facilities. These are positive aspects of the proposal, but they do not address the identified deficiencies in the shared areas.</w:t>
      </w:r>
      <w:r w:rsidR="00170071">
        <w:rPr>
          <w:rFonts w:cs="Arial"/>
          <w:lang w:eastAsia="en-GB"/>
        </w:rPr>
        <w:t xml:space="preserve"> </w:t>
      </w:r>
      <w:r w:rsidR="00AD3771" w:rsidRPr="00035583">
        <w:rPr>
          <w:rFonts w:cs="Arial"/>
          <w:lang w:eastAsia="en-GB"/>
        </w:rPr>
        <w:t>The Council therefore does not consider that the accessibility of the bedrooms provides a justification for accepting an otherwise constrained internal arrangement.</w:t>
      </w:r>
    </w:p>
    <w:p w14:paraId="060BC992" w14:textId="77777777" w:rsidR="00AD3771" w:rsidRPr="00035583" w:rsidRDefault="00AD3771" w:rsidP="00AD3771">
      <w:pPr>
        <w:tabs>
          <w:tab w:val="left" w:pos="567"/>
          <w:tab w:val="left" w:pos="3765"/>
        </w:tabs>
        <w:rPr>
          <w:rFonts w:cs="Arial"/>
          <w:lang w:eastAsia="en-GB"/>
        </w:rPr>
      </w:pPr>
    </w:p>
    <w:p w14:paraId="0D409912" w14:textId="77777777" w:rsidR="00AD3771" w:rsidRPr="00035583" w:rsidRDefault="00AD3771" w:rsidP="00AD3771">
      <w:pPr>
        <w:tabs>
          <w:tab w:val="left" w:pos="567"/>
          <w:tab w:val="left" w:pos="3765"/>
        </w:tabs>
        <w:rPr>
          <w:rFonts w:cs="Arial"/>
          <w:lang w:eastAsia="en-GB"/>
        </w:rPr>
      </w:pPr>
      <w:r w:rsidRPr="00035583">
        <w:rPr>
          <w:rFonts w:cs="Arial"/>
          <w:lang w:eastAsia="en-GB"/>
        </w:rPr>
        <w:t>Management Arrangements</w:t>
      </w:r>
    </w:p>
    <w:p w14:paraId="023CEF68" w14:textId="77777777" w:rsidR="00AD3771" w:rsidRPr="00035583" w:rsidRDefault="00AD3771" w:rsidP="00AD3771">
      <w:pPr>
        <w:tabs>
          <w:tab w:val="left" w:pos="567"/>
          <w:tab w:val="left" w:pos="3765"/>
        </w:tabs>
        <w:rPr>
          <w:rFonts w:cs="Arial"/>
          <w:lang w:eastAsia="en-GB"/>
        </w:rPr>
      </w:pPr>
    </w:p>
    <w:p w14:paraId="76B90E2B" w14:textId="2F565A76" w:rsidR="00AD3771" w:rsidRPr="00035583" w:rsidRDefault="00F2386A" w:rsidP="00AD3771">
      <w:pPr>
        <w:tabs>
          <w:tab w:val="left" w:pos="567"/>
          <w:tab w:val="left" w:pos="3765"/>
        </w:tabs>
        <w:rPr>
          <w:rFonts w:cs="Arial"/>
          <w:lang w:eastAsia="en-GB"/>
        </w:rPr>
      </w:pPr>
      <w:r>
        <w:rPr>
          <w:rFonts w:cs="Arial"/>
          <w:lang w:eastAsia="en-GB"/>
        </w:rPr>
        <w:t>2.42</w:t>
      </w:r>
      <w:r w:rsidR="00AD3771" w:rsidRPr="00035583">
        <w:rPr>
          <w:rFonts w:cs="Arial"/>
          <w:lang w:eastAsia="en-GB"/>
        </w:rPr>
        <w:t xml:space="preserve"> The appellant refers to weekly inspections, tenant responsibilities, anti-social behaviour procedures and emergency contact arrangements as evidence that the property would be professionally managed.</w:t>
      </w:r>
    </w:p>
    <w:p w14:paraId="346179F7" w14:textId="77777777" w:rsidR="00AD3771" w:rsidRPr="00035583" w:rsidRDefault="00AD3771" w:rsidP="00AD3771">
      <w:pPr>
        <w:tabs>
          <w:tab w:val="left" w:pos="567"/>
          <w:tab w:val="left" w:pos="3765"/>
        </w:tabs>
        <w:rPr>
          <w:rFonts w:cs="Arial"/>
          <w:lang w:eastAsia="en-GB"/>
        </w:rPr>
      </w:pPr>
    </w:p>
    <w:p w14:paraId="1A90CA54" w14:textId="1A0E15F8" w:rsidR="00AD3771" w:rsidRPr="00035583" w:rsidRDefault="00F2386A" w:rsidP="00AD3771">
      <w:pPr>
        <w:tabs>
          <w:tab w:val="left" w:pos="567"/>
          <w:tab w:val="left" w:pos="3765"/>
        </w:tabs>
        <w:rPr>
          <w:rFonts w:cs="Arial"/>
          <w:lang w:eastAsia="en-GB"/>
        </w:rPr>
      </w:pPr>
      <w:r>
        <w:rPr>
          <w:rFonts w:cs="Arial"/>
          <w:lang w:eastAsia="en-GB"/>
        </w:rPr>
        <w:t>2.43</w:t>
      </w:r>
      <w:r w:rsidR="00AD3771" w:rsidRPr="00035583">
        <w:rPr>
          <w:rFonts w:cs="Arial"/>
          <w:lang w:eastAsia="en-GB"/>
        </w:rPr>
        <w:t xml:space="preserve"> The Council has taken these arrangements into account. The officer report nevertheless concluded that management measures could not overcome the inherent shortcomings of the physical layout.</w:t>
      </w:r>
    </w:p>
    <w:p w14:paraId="3FAECAF0" w14:textId="77777777" w:rsidR="00AD3771" w:rsidRPr="00035583" w:rsidRDefault="00AD3771" w:rsidP="00AD3771">
      <w:pPr>
        <w:tabs>
          <w:tab w:val="left" w:pos="567"/>
          <w:tab w:val="left" w:pos="3765"/>
        </w:tabs>
        <w:rPr>
          <w:rFonts w:cs="Arial"/>
          <w:lang w:eastAsia="en-GB"/>
        </w:rPr>
      </w:pPr>
    </w:p>
    <w:p w14:paraId="2FAC2B89" w14:textId="4E663149" w:rsidR="00AD3771" w:rsidRPr="00035583" w:rsidRDefault="00F2386A" w:rsidP="00AD3771">
      <w:pPr>
        <w:tabs>
          <w:tab w:val="left" w:pos="567"/>
          <w:tab w:val="left" w:pos="3765"/>
        </w:tabs>
        <w:rPr>
          <w:rFonts w:cs="Arial"/>
          <w:lang w:eastAsia="en-GB"/>
        </w:rPr>
      </w:pPr>
      <w:r>
        <w:rPr>
          <w:rFonts w:cs="Arial"/>
          <w:lang w:eastAsia="en-GB"/>
        </w:rPr>
        <w:t>2.44</w:t>
      </w:r>
      <w:r w:rsidR="00AD3771" w:rsidRPr="00035583">
        <w:rPr>
          <w:rFonts w:cs="Arial"/>
          <w:lang w:eastAsia="en-GB"/>
        </w:rPr>
        <w:t xml:space="preserve"> Management arrangements may assist in controlling behaviour and maintaining the property, but they cannot create additional internal communal space or alter the physical relationship between Bedrooms 3 and 4 and the rear garden.</w:t>
      </w:r>
    </w:p>
    <w:p w14:paraId="7B0EF225" w14:textId="77777777" w:rsidR="00AD3771" w:rsidRPr="00035583" w:rsidRDefault="00AD3771" w:rsidP="00AD3771">
      <w:pPr>
        <w:tabs>
          <w:tab w:val="left" w:pos="567"/>
          <w:tab w:val="left" w:pos="3765"/>
        </w:tabs>
        <w:rPr>
          <w:rFonts w:cs="Arial"/>
          <w:lang w:eastAsia="en-GB"/>
        </w:rPr>
      </w:pPr>
    </w:p>
    <w:p w14:paraId="076C6B4F" w14:textId="41FDF882" w:rsidR="00AD3771" w:rsidRPr="00035583" w:rsidRDefault="00F2386A" w:rsidP="00AD3771">
      <w:pPr>
        <w:tabs>
          <w:tab w:val="left" w:pos="567"/>
          <w:tab w:val="left" w:pos="3765"/>
        </w:tabs>
        <w:rPr>
          <w:rFonts w:cs="Arial"/>
          <w:lang w:eastAsia="en-GB"/>
        </w:rPr>
      </w:pPr>
      <w:r>
        <w:rPr>
          <w:rFonts w:cs="Arial"/>
          <w:lang w:eastAsia="en-GB"/>
        </w:rPr>
        <w:lastRenderedPageBreak/>
        <w:t>2.45</w:t>
      </w:r>
      <w:r w:rsidR="00AD3771" w:rsidRPr="00035583">
        <w:rPr>
          <w:rFonts w:cs="Arial"/>
          <w:lang w:eastAsia="en-GB"/>
        </w:rPr>
        <w:t xml:space="preserve"> The Council therefore considers that the appellant’s management proposals do not address the substantive planning objection.</w:t>
      </w:r>
    </w:p>
    <w:p w14:paraId="0F048D19" w14:textId="77777777" w:rsidR="00AD3771" w:rsidRPr="00035583" w:rsidRDefault="00AD3771" w:rsidP="00AD3771">
      <w:pPr>
        <w:tabs>
          <w:tab w:val="left" w:pos="567"/>
          <w:tab w:val="left" w:pos="3765"/>
        </w:tabs>
        <w:rPr>
          <w:rFonts w:cs="Arial"/>
          <w:lang w:eastAsia="en-GB"/>
        </w:rPr>
      </w:pPr>
    </w:p>
    <w:p w14:paraId="3CA5BDC4" w14:textId="258F5AA5" w:rsidR="00AD3771" w:rsidRPr="006E6BF9" w:rsidRDefault="00AD3771" w:rsidP="00AD3771">
      <w:pPr>
        <w:tabs>
          <w:tab w:val="left" w:pos="567"/>
          <w:tab w:val="left" w:pos="3765"/>
        </w:tabs>
        <w:rPr>
          <w:rFonts w:cs="Arial"/>
          <w:b/>
          <w:bCs/>
          <w:lang w:eastAsia="en-GB"/>
        </w:rPr>
      </w:pPr>
      <w:r w:rsidRPr="006E6BF9">
        <w:rPr>
          <w:rFonts w:cs="Arial"/>
          <w:b/>
          <w:bCs/>
          <w:lang w:eastAsia="en-GB"/>
        </w:rPr>
        <w:t>RESPONSE TO THE APPELLANT'S OVERALL PLANNING BALANCE</w:t>
      </w:r>
    </w:p>
    <w:p w14:paraId="1E081B87" w14:textId="77777777" w:rsidR="00F2386A" w:rsidRDefault="00F2386A" w:rsidP="00AD3771">
      <w:pPr>
        <w:tabs>
          <w:tab w:val="left" w:pos="567"/>
          <w:tab w:val="left" w:pos="3765"/>
        </w:tabs>
        <w:rPr>
          <w:rFonts w:cs="Arial"/>
          <w:lang w:eastAsia="en-GB"/>
        </w:rPr>
      </w:pPr>
    </w:p>
    <w:p w14:paraId="469A3587" w14:textId="181188C5" w:rsidR="004B58EC" w:rsidRPr="00035583" w:rsidRDefault="006E6BF9" w:rsidP="00F2386A">
      <w:pPr>
        <w:tabs>
          <w:tab w:val="left" w:pos="567"/>
          <w:tab w:val="left" w:pos="3765"/>
        </w:tabs>
        <w:rPr>
          <w:rFonts w:cs="Arial"/>
          <w:lang w:eastAsia="en-GB"/>
        </w:rPr>
      </w:pPr>
      <w:r>
        <w:rPr>
          <w:rFonts w:cs="Arial"/>
          <w:lang w:eastAsia="en-GB"/>
        </w:rPr>
        <w:t>2.46</w:t>
      </w:r>
      <w:r w:rsidR="00F2386A" w:rsidRPr="00035583">
        <w:rPr>
          <w:rFonts w:cs="Arial"/>
          <w:lang w:eastAsia="en-GB"/>
        </w:rPr>
        <w:t xml:space="preserve"> The Council’s assessment identified </w:t>
      </w:r>
      <w:proofErr w:type="gramStart"/>
      <w:r w:rsidR="00F2386A" w:rsidRPr="00035583">
        <w:rPr>
          <w:rFonts w:cs="Arial"/>
          <w:lang w:eastAsia="en-GB"/>
        </w:rPr>
        <w:t>a number of</w:t>
      </w:r>
      <w:proofErr w:type="gramEnd"/>
      <w:r w:rsidR="00F2386A" w:rsidRPr="00035583">
        <w:rPr>
          <w:rFonts w:cs="Arial"/>
          <w:lang w:eastAsia="en-GB"/>
        </w:rPr>
        <w:t xml:space="preserve"> aspects of the proposal that would be acceptable</w:t>
      </w:r>
      <w:r>
        <w:rPr>
          <w:rFonts w:cs="Arial"/>
          <w:lang w:eastAsia="en-GB"/>
        </w:rPr>
        <w:t xml:space="preserve"> and t</w:t>
      </w:r>
      <w:r w:rsidR="004B58EC" w:rsidRPr="00035583">
        <w:rPr>
          <w:rFonts w:cs="Arial"/>
          <w:lang w:eastAsia="en-GB"/>
        </w:rPr>
        <w:t>he assessment has considered the proposal against the development plan as a whole and has recognised the benefits associated with the provision of wheelchair-accessible accommodation.</w:t>
      </w:r>
    </w:p>
    <w:p w14:paraId="6F462B8C" w14:textId="77777777" w:rsidR="00F2386A" w:rsidRPr="00035583" w:rsidRDefault="00F2386A" w:rsidP="00F2386A">
      <w:pPr>
        <w:tabs>
          <w:tab w:val="left" w:pos="567"/>
          <w:tab w:val="left" w:pos="3765"/>
        </w:tabs>
        <w:rPr>
          <w:rFonts w:cs="Arial"/>
          <w:lang w:eastAsia="en-GB"/>
        </w:rPr>
      </w:pPr>
    </w:p>
    <w:p w14:paraId="720184C8" w14:textId="26D79BD1" w:rsidR="00F2386A" w:rsidRPr="00035583" w:rsidRDefault="006E6BF9" w:rsidP="00F2386A">
      <w:pPr>
        <w:tabs>
          <w:tab w:val="left" w:pos="567"/>
          <w:tab w:val="left" w:pos="3765"/>
        </w:tabs>
        <w:rPr>
          <w:rFonts w:cs="Arial"/>
          <w:lang w:eastAsia="en-GB"/>
        </w:rPr>
      </w:pPr>
      <w:r>
        <w:rPr>
          <w:rFonts w:cs="Arial"/>
          <w:lang w:eastAsia="en-GB"/>
        </w:rPr>
        <w:t>2.47</w:t>
      </w:r>
      <w:r w:rsidR="00F2386A" w:rsidRPr="00035583">
        <w:rPr>
          <w:rFonts w:cs="Arial"/>
          <w:lang w:eastAsia="en-GB"/>
        </w:rPr>
        <w:t xml:space="preserve"> The external alteration is limited to the blocking of an existing rear door and would not materially affect the appearance of the building or street scene.</w:t>
      </w:r>
    </w:p>
    <w:p w14:paraId="3F4FCE4A" w14:textId="77777777" w:rsidR="00F2386A" w:rsidRPr="00035583" w:rsidRDefault="00F2386A" w:rsidP="00F2386A">
      <w:pPr>
        <w:tabs>
          <w:tab w:val="left" w:pos="567"/>
          <w:tab w:val="left" w:pos="3765"/>
        </w:tabs>
        <w:rPr>
          <w:rFonts w:cs="Arial"/>
          <w:lang w:eastAsia="en-GB"/>
        </w:rPr>
      </w:pPr>
    </w:p>
    <w:p w14:paraId="73A9BA6E" w14:textId="0B4C7B8F" w:rsidR="00F2386A" w:rsidRPr="00035583" w:rsidRDefault="006E6BF9" w:rsidP="00F2386A">
      <w:pPr>
        <w:tabs>
          <w:tab w:val="left" w:pos="567"/>
          <w:tab w:val="left" w:pos="3765"/>
        </w:tabs>
        <w:rPr>
          <w:rFonts w:cs="Arial"/>
          <w:lang w:eastAsia="en-GB"/>
        </w:rPr>
      </w:pPr>
      <w:r>
        <w:rPr>
          <w:rFonts w:cs="Arial"/>
          <w:lang w:eastAsia="en-GB"/>
        </w:rPr>
        <w:t>2.48</w:t>
      </w:r>
      <w:r w:rsidR="00F2386A" w:rsidRPr="00035583">
        <w:rPr>
          <w:rFonts w:cs="Arial"/>
          <w:lang w:eastAsia="en-GB"/>
        </w:rPr>
        <w:t xml:space="preserve"> The Highway Authority raised no objection. The three existing parking spaces would be retained, exceeding the two spaces identified as necessary for a four-person HMO under the relevant standard.</w:t>
      </w:r>
    </w:p>
    <w:p w14:paraId="51620E16" w14:textId="77777777" w:rsidR="00F2386A" w:rsidRPr="00035583" w:rsidRDefault="00F2386A" w:rsidP="00F2386A">
      <w:pPr>
        <w:tabs>
          <w:tab w:val="left" w:pos="567"/>
          <w:tab w:val="left" w:pos="3765"/>
        </w:tabs>
        <w:rPr>
          <w:rFonts w:cs="Arial"/>
          <w:lang w:eastAsia="en-GB"/>
        </w:rPr>
      </w:pPr>
    </w:p>
    <w:p w14:paraId="39C35336" w14:textId="49CB4720" w:rsidR="00F2386A" w:rsidRPr="00035583" w:rsidRDefault="006E6BF9" w:rsidP="00F2386A">
      <w:pPr>
        <w:tabs>
          <w:tab w:val="left" w:pos="567"/>
          <w:tab w:val="left" w:pos="3765"/>
        </w:tabs>
        <w:rPr>
          <w:rFonts w:cs="Arial"/>
          <w:lang w:eastAsia="en-GB"/>
        </w:rPr>
      </w:pPr>
      <w:r>
        <w:rPr>
          <w:rFonts w:cs="Arial"/>
          <w:lang w:eastAsia="en-GB"/>
        </w:rPr>
        <w:t>2.49</w:t>
      </w:r>
      <w:r w:rsidR="00F2386A" w:rsidRPr="00035583">
        <w:rPr>
          <w:rFonts w:cs="Arial"/>
          <w:lang w:eastAsia="en-GB"/>
        </w:rPr>
        <w:t xml:space="preserve"> The Council also concluded that the proposal would not result in unacceptable harm to neighbouring residential amenity. </w:t>
      </w:r>
      <w:proofErr w:type="gramStart"/>
      <w:r w:rsidR="00F2386A" w:rsidRPr="00035583">
        <w:rPr>
          <w:rFonts w:cs="Arial"/>
          <w:lang w:eastAsia="en-GB"/>
        </w:rPr>
        <w:t>In particular, no</w:t>
      </w:r>
      <w:proofErr w:type="gramEnd"/>
      <w:r w:rsidR="00F2386A" w:rsidRPr="00035583">
        <w:rPr>
          <w:rFonts w:cs="Arial"/>
          <w:lang w:eastAsia="en-GB"/>
        </w:rPr>
        <w:t xml:space="preserve"> separate objection was raised in respect of privacy, outlook, daylight, sunlight or general residential amenity to neighbouring properties.</w:t>
      </w:r>
    </w:p>
    <w:p w14:paraId="155C03B4" w14:textId="77777777" w:rsidR="00F2386A" w:rsidRPr="00035583" w:rsidRDefault="00F2386A" w:rsidP="00F2386A">
      <w:pPr>
        <w:tabs>
          <w:tab w:val="left" w:pos="567"/>
          <w:tab w:val="left" w:pos="3765"/>
        </w:tabs>
        <w:rPr>
          <w:rFonts w:cs="Arial"/>
          <w:lang w:eastAsia="en-GB"/>
        </w:rPr>
      </w:pPr>
    </w:p>
    <w:p w14:paraId="13633331" w14:textId="575F9EDC" w:rsidR="00F2386A" w:rsidRPr="00035583" w:rsidRDefault="006E6BF9" w:rsidP="00AD3771">
      <w:pPr>
        <w:tabs>
          <w:tab w:val="left" w:pos="567"/>
          <w:tab w:val="left" w:pos="3765"/>
        </w:tabs>
        <w:rPr>
          <w:rFonts w:cs="Arial"/>
          <w:lang w:eastAsia="en-GB"/>
        </w:rPr>
      </w:pPr>
      <w:r>
        <w:rPr>
          <w:rFonts w:cs="Arial"/>
          <w:lang w:eastAsia="en-GB"/>
        </w:rPr>
        <w:t>2.50</w:t>
      </w:r>
      <w:r w:rsidR="00F2386A" w:rsidRPr="00035583">
        <w:rPr>
          <w:rFonts w:cs="Arial"/>
          <w:lang w:eastAsia="en-GB"/>
        </w:rPr>
        <w:t xml:space="preserve"> These matters are acknowledged as weighing in favour of the proposal. </w:t>
      </w:r>
    </w:p>
    <w:p w14:paraId="61D98573" w14:textId="77777777" w:rsidR="00AD3771" w:rsidRPr="00035583" w:rsidRDefault="00AD3771" w:rsidP="00AD3771">
      <w:pPr>
        <w:tabs>
          <w:tab w:val="left" w:pos="567"/>
          <w:tab w:val="left" w:pos="3765"/>
        </w:tabs>
        <w:rPr>
          <w:rFonts w:cs="Arial"/>
          <w:lang w:eastAsia="en-GB"/>
        </w:rPr>
      </w:pPr>
    </w:p>
    <w:p w14:paraId="70E1723A" w14:textId="62A94666" w:rsidR="00AD3771" w:rsidRPr="00035583" w:rsidRDefault="006E6BF9" w:rsidP="00AD3771">
      <w:pPr>
        <w:tabs>
          <w:tab w:val="left" w:pos="567"/>
          <w:tab w:val="left" w:pos="3765"/>
        </w:tabs>
        <w:rPr>
          <w:rFonts w:cs="Arial"/>
          <w:lang w:eastAsia="en-GB"/>
        </w:rPr>
      </w:pPr>
      <w:r>
        <w:rPr>
          <w:rFonts w:cs="Arial"/>
          <w:lang w:eastAsia="en-GB"/>
        </w:rPr>
        <w:t>2.51</w:t>
      </w:r>
      <w:r w:rsidR="00AD3771" w:rsidRPr="00035583">
        <w:rPr>
          <w:rFonts w:cs="Arial"/>
          <w:lang w:eastAsia="en-GB"/>
        </w:rPr>
        <w:t xml:space="preserve"> However, the development plan seeks both to meet diverse housing needs and to ensure that existing housing stock is appropriately managed. The provision of one form of housing need does not automatically justify the loss or alteration of another form of housing where the proposal conflicts with adopted housing mix objectives.</w:t>
      </w:r>
    </w:p>
    <w:p w14:paraId="13E81907" w14:textId="77777777" w:rsidR="00AD3771" w:rsidRPr="00035583" w:rsidRDefault="00AD3771" w:rsidP="00AD3771">
      <w:pPr>
        <w:tabs>
          <w:tab w:val="left" w:pos="567"/>
          <w:tab w:val="left" w:pos="3765"/>
        </w:tabs>
        <w:rPr>
          <w:rFonts w:cs="Arial"/>
          <w:lang w:eastAsia="en-GB"/>
        </w:rPr>
      </w:pPr>
    </w:p>
    <w:p w14:paraId="4A14E20E" w14:textId="2AD57A8A" w:rsidR="00AD3771" w:rsidRPr="00035583" w:rsidRDefault="006E6BF9" w:rsidP="00AD3771">
      <w:pPr>
        <w:tabs>
          <w:tab w:val="left" w:pos="567"/>
          <w:tab w:val="left" w:pos="3765"/>
        </w:tabs>
        <w:rPr>
          <w:rFonts w:cs="Arial"/>
          <w:lang w:eastAsia="en-GB"/>
        </w:rPr>
      </w:pPr>
      <w:r>
        <w:rPr>
          <w:rFonts w:cs="Arial"/>
          <w:lang w:eastAsia="en-GB"/>
        </w:rPr>
        <w:t>2.52</w:t>
      </w:r>
      <w:r w:rsidR="00AD3771" w:rsidRPr="00035583">
        <w:rPr>
          <w:rFonts w:cs="Arial"/>
          <w:lang w:eastAsia="en-GB"/>
        </w:rPr>
        <w:t xml:space="preserve"> In this case, the existing property is a three-bedroom self-contained dwelling capable of family occupation. The appeal proposal would replace that accommodation with a four-person </w:t>
      </w:r>
      <w:r w:rsidR="00E9156D" w:rsidRPr="00035583">
        <w:rPr>
          <w:rFonts w:cs="Arial"/>
          <w:lang w:eastAsia="en-GB"/>
        </w:rPr>
        <w:t>HMO.</w:t>
      </w:r>
    </w:p>
    <w:p w14:paraId="1E311BFD" w14:textId="77777777" w:rsidR="00AD3771" w:rsidRPr="00035583" w:rsidRDefault="00AD3771" w:rsidP="00AD3771">
      <w:pPr>
        <w:tabs>
          <w:tab w:val="left" w:pos="567"/>
          <w:tab w:val="left" w:pos="3765"/>
        </w:tabs>
        <w:rPr>
          <w:rFonts w:cs="Arial"/>
          <w:lang w:eastAsia="en-GB"/>
        </w:rPr>
      </w:pPr>
    </w:p>
    <w:p w14:paraId="5D0B77C6" w14:textId="3D888E49" w:rsidR="00AD3771" w:rsidRPr="00035583" w:rsidRDefault="006E6BF9" w:rsidP="00AD3771">
      <w:pPr>
        <w:tabs>
          <w:tab w:val="left" w:pos="567"/>
          <w:tab w:val="left" w:pos="3765"/>
        </w:tabs>
        <w:rPr>
          <w:rFonts w:cs="Arial"/>
          <w:lang w:eastAsia="en-GB"/>
        </w:rPr>
      </w:pPr>
      <w:r>
        <w:rPr>
          <w:rFonts w:cs="Arial"/>
          <w:lang w:eastAsia="en-GB"/>
        </w:rPr>
        <w:t>2.53</w:t>
      </w:r>
      <w:r w:rsidR="00AD3771" w:rsidRPr="00035583">
        <w:rPr>
          <w:rFonts w:cs="Arial"/>
          <w:lang w:eastAsia="en-GB"/>
        </w:rPr>
        <w:t xml:space="preserve"> In addition, the proposal does not merely involve a change in tenure or management arrangements. It introduces a different form of residential accommodation which the Council considers to be substandard in terms of its internal communal provision and the relationship between the bedrooms and rear garden.</w:t>
      </w:r>
    </w:p>
    <w:p w14:paraId="1BFECFFB" w14:textId="77777777" w:rsidR="00AD3771" w:rsidRPr="00035583" w:rsidRDefault="00AD3771" w:rsidP="00AD3771">
      <w:pPr>
        <w:tabs>
          <w:tab w:val="left" w:pos="567"/>
          <w:tab w:val="left" w:pos="3765"/>
        </w:tabs>
        <w:rPr>
          <w:rFonts w:cs="Arial"/>
          <w:lang w:eastAsia="en-GB"/>
        </w:rPr>
      </w:pPr>
    </w:p>
    <w:p w14:paraId="197D9CFD" w14:textId="7C25E8A0" w:rsidR="00AD3771" w:rsidRPr="00035583" w:rsidRDefault="006E6BF9" w:rsidP="00AD3771">
      <w:pPr>
        <w:tabs>
          <w:tab w:val="left" w:pos="567"/>
          <w:tab w:val="left" w:pos="3765"/>
        </w:tabs>
        <w:rPr>
          <w:rFonts w:cs="Arial"/>
          <w:lang w:eastAsia="en-GB"/>
        </w:rPr>
      </w:pPr>
      <w:r>
        <w:rPr>
          <w:rFonts w:cs="Arial"/>
          <w:lang w:eastAsia="en-GB"/>
        </w:rPr>
        <w:t>2.54</w:t>
      </w:r>
      <w:r w:rsidR="00AD3771" w:rsidRPr="00035583">
        <w:rPr>
          <w:rFonts w:cs="Arial"/>
          <w:lang w:eastAsia="en-GB"/>
        </w:rPr>
        <w:t xml:space="preserve"> The public benefit of accessible accommodation is therefore balanced against two substantive planning considerations:</w:t>
      </w:r>
    </w:p>
    <w:p w14:paraId="02FC505C" w14:textId="77777777" w:rsidR="00AD3771" w:rsidRPr="00035583" w:rsidRDefault="00AD3771" w:rsidP="00AD3771">
      <w:pPr>
        <w:tabs>
          <w:tab w:val="left" w:pos="567"/>
          <w:tab w:val="left" w:pos="3765"/>
        </w:tabs>
        <w:rPr>
          <w:rFonts w:cs="Arial"/>
          <w:lang w:eastAsia="en-GB"/>
        </w:rPr>
      </w:pPr>
    </w:p>
    <w:p w14:paraId="24A3809D" w14:textId="77777777" w:rsidR="00AD3771" w:rsidRPr="00035583" w:rsidRDefault="00AD3771" w:rsidP="00AD3771">
      <w:pPr>
        <w:tabs>
          <w:tab w:val="left" w:pos="567"/>
          <w:tab w:val="left" w:pos="3765"/>
        </w:tabs>
        <w:rPr>
          <w:rFonts w:cs="Arial"/>
          <w:lang w:eastAsia="en-GB"/>
        </w:rPr>
      </w:pPr>
      <w:r w:rsidRPr="00035583">
        <w:rPr>
          <w:rFonts w:cs="Arial"/>
          <w:lang w:eastAsia="en-GB"/>
        </w:rPr>
        <w:t>the loss of family-capable housing contrary to the objectives of Policy DMH 2; and</w:t>
      </w:r>
    </w:p>
    <w:p w14:paraId="2F89BA71" w14:textId="77777777" w:rsidR="00AD3771" w:rsidRPr="00035583" w:rsidRDefault="00AD3771" w:rsidP="00AD3771">
      <w:pPr>
        <w:tabs>
          <w:tab w:val="left" w:pos="567"/>
          <w:tab w:val="left" w:pos="3765"/>
        </w:tabs>
        <w:rPr>
          <w:rFonts w:cs="Arial"/>
          <w:lang w:eastAsia="en-GB"/>
        </w:rPr>
      </w:pPr>
      <w:r w:rsidRPr="00035583">
        <w:rPr>
          <w:rFonts w:cs="Arial"/>
          <w:lang w:eastAsia="en-GB"/>
        </w:rPr>
        <w:t>the failure to provide a satisfactory standard of accommodation for future occupiers contrary to Policies DMH 5, DMHB 11 and DMHB 16 and Policy D6 of the London Plan.</w:t>
      </w:r>
    </w:p>
    <w:p w14:paraId="51C23C65" w14:textId="77777777" w:rsidR="00AD3771" w:rsidRPr="00035583" w:rsidRDefault="00AD3771" w:rsidP="00AD3771">
      <w:pPr>
        <w:tabs>
          <w:tab w:val="left" w:pos="567"/>
          <w:tab w:val="left" w:pos="3765"/>
        </w:tabs>
        <w:rPr>
          <w:rFonts w:cs="Arial"/>
          <w:lang w:eastAsia="en-GB"/>
        </w:rPr>
      </w:pPr>
    </w:p>
    <w:p w14:paraId="2393C323" w14:textId="125B921C" w:rsidR="00AD3771" w:rsidRPr="00035583" w:rsidRDefault="006E6BF9" w:rsidP="00AD3771">
      <w:pPr>
        <w:tabs>
          <w:tab w:val="left" w:pos="567"/>
          <w:tab w:val="left" w:pos="3765"/>
        </w:tabs>
        <w:rPr>
          <w:rFonts w:cs="Arial"/>
          <w:lang w:eastAsia="en-GB"/>
        </w:rPr>
      </w:pPr>
      <w:r>
        <w:rPr>
          <w:rFonts w:cs="Arial"/>
          <w:lang w:eastAsia="en-GB"/>
        </w:rPr>
        <w:t>2.55</w:t>
      </w:r>
      <w:r w:rsidR="00AD3771" w:rsidRPr="00035583">
        <w:rPr>
          <w:rFonts w:cs="Arial"/>
          <w:lang w:eastAsia="en-GB"/>
        </w:rPr>
        <w:t xml:space="preserve"> The Council considers these matters to carry significant weight.</w:t>
      </w:r>
    </w:p>
    <w:p w14:paraId="5CFB1F0E" w14:textId="77777777" w:rsidR="00035583" w:rsidRDefault="00035583" w:rsidP="00C3468A">
      <w:pPr>
        <w:pStyle w:val="Default"/>
        <w:tabs>
          <w:tab w:val="left" w:pos="567"/>
        </w:tabs>
        <w:rPr>
          <w:b/>
          <w:bCs/>
          <w:sz w:val="32"/>
          <w:szCs w:val="32"/>
        </w:rPr>
      </w:pPr>
    </w:p>
    <w:p w14:paraId="093B5170" w14:textId="7B007E53" w:rsidR="00A12FAD" w:rsidRPr="00E94268" w:rsidRDefault="00C76C55" w:rsidP="00C3468A">
      <w:pPr>
        <w:pStyle w:val="Default"/>
        <w:tabs>
          <w:tab w:val="left" w:pos="567"/>
        </w:tabs>
        <w:rPr>
          <w:b/>
          <w:bCs/>
          <w:sz w:val="32"/>
          <w:szCs w:val="32"/>
        </w:rPr>
      </w:pPr>
      <w:r w:rsidRPr="00E94268">
        <w:rPr>
          <w:b/>
          <w:bCs/>
          <w:sz w:val="32"/>
          <w:szCs w:val="32"/>
        </w:rPr>
        <w:t xml:space="preserve">4. </w:t>
      </w:r>
      <w:r w:rsidRPr="00E94268">
        <w:rPr>
          <w:b/>
          <w:bCs/>
          <w:sz w:val="32"/>
          <w:szCs w:val="32"/>
        </w:rPr>
        <w:tab/>
        <w:t>Conclusion</w:t>
      </w:r>
    </w:p>
    <w:p w14:paraId="43AFF228" w14:textId="77777777" w:rsidR="00C76C55" w:rsidRPr="009F62C7" w:rsidRDefault="00C76C55" w:rsidP="00C3468A">
      <w:pPr>
        <w:pStyle w:val="Default"/>
        <w:tabs>
          <w:tab w:val="left" w:pos="567"/>
        </w:tabs>
      </w:pPr>
    </w:p>
    <w:p w14:paraId="4FE9B269" w14:textId="658A2F50" w:rsidR="00266737" w:rsidRPr="009F62C7" w:rsidRDefault="00266737" w:rsidP="00C3468A">
      <w:pPr>
        <w:tabs>
          <w:tab w:val="left" w:pos="567"/>
          <w:tab w:val="left" w:pos="3765"/>
        </w:tabs>
        <w:ind w:left="567" w:hanging="567"/>
        <w:rPr>
          <w:rFonts w:cs="Arial"/>
        </w:rPr>
      </w:pPr>
      <w:r w:rsidRPr="009F62C7">
        <w:rPr>
          <w:rFonts w:cs="Arial"/>
        </w:rPr>
        <w:lastRenderedPageBreak/>
        <w:t>4.1</w:t>
      </w:r>
      <w:r w:rsidRPr="009F62C7">
        <w:rPr>
          <w:rFonts w:cs="Arial"/>
        </w:rPr>
        <w:tab/>
        <w:t>For the reasons set out in the Officer</w:t>
      </w:r>
      <w:r w:rsidR="008C00A1">
        <w:rPr>
          <w:rFonts w:cs="Arial"/>
        </w:rPr>
        <w:t>’</w:t>
      </w:r>
      <w:r w:rsidRPr="009F62C7">
        <w:rPr>
          <w:rFonts w:cs="Arial"/>
        </w:rPr>
        <w:t xml:space="preserve">s Delegated report and this statement the Inspector is respectfully requested to dismiss the appeal. </w:t>
      </w:r>
    </w:p>
    <w:p w14:paraId="536E43BB" w14:textId="77777777" w:rsidR="00266737" w:rsidRPr="009F62C7" w:rsidRDefault="00266737" w:rsidP="00C3468A">
      <w:pPr>
        <w:tabs>
          <w:tab w:val="left" w:pos="567"/>
          <w:tab w:val="left" w:pos="3765"/>
        </w:tabs>
        <w:ind w:left="567" w:hanging="567"/>
        <w:rPr>
          <w:rFonts w:cs="Arial"/>
          <w:highlight w:val="yellow"/>
        </w:rPr>
      </w:pPr>
    </w:p>
    <w:p w14:paraId="482931C1" w14:textId="77777777" w:rsidR="00CF24D5" w:rsidRPr="009F62C7" w:rsidRDefault="00266737" w:rsidP="00C3468A">
      <w:pPr>
        <w:tabs>
          <w:tab w:val="left" w:pos="567"/>
          <w:tab w:val="left" w:pos="3765"/>
        </w:tabs>
        <w:ind w:left="567" w:hanging="567"/>
        <w:rPr>
          <w:rFonts w:cs="Arial"/>
        </w:rPr>
      </w:pPr>
      <w:r w:rsidRPr="009F62C7">
        <w:rPr>
          <w:rFonts w:cs="Arial"/>
        </w:rPr>
        <w:t>4.2</w:t>
      </w:r>
      <w:r w:rsidRPr="009F62C7">
        <w:rPr>
          <w:rFonts w:cs="Arial"/>
        </w:rPr>
        <w:tab/>
        <w:t>In the event that the Inspector considers the appeal should be allowed, and without prejudice to the Council’s case, a list of recommended planning conditions is included at Appendix 1.</w:t>
      </w:r>
    </w:p>
    <w:p w14:paraId="6F668444" w14:textId="77777777" w:rsidR="00CF24D5" w:rsidRPr="009F62C7" w:rsidRDefault="00CF24D5" w:rsidP="00C3468A">
      <w:pPr>
        <w:tabs>
          <w:tab w:val="left" w:pos="567"/>
          <w:tab w:val="left" w:pos="3765"/>
        </w:tabs>
        <w:ind w:left="567" w:hanging="567"/>
        <w:rPr>
          <w:rFonts w:cs="Arial"/>
        </w:rPr>
      </w:pPr>
    </w:p>
    <w:p w14:paraId="4AED05A9" w14:textId="77777777" w:rsidR="00CF24D5" w:rsidRDefault="00CF24D5" w:rsidP="00C3468A">
      <w:pPr>
        <w:tabs>
          <w:tab w:val="left" w:pos="567"/>
          <w:tab w:val="left" w:pos="3765"/>
        </w:tabs>
        <w:ind w:left="567" w:hanging="567"/>
      </w:pPr>
    </w:p>
    <w:p w14:paraId="01FF0009" w14:textId="77777777" w:rsidR="00CF24D5" w:rsidRPr="00CF24D5" w:rsidRDefault="00CF24D5" w:rsidP="00C3468A">
      <w:pPr>
        <w:tabs>
          <w:tab w:val="left" w:pos="567"/>
          <w:tab w:val="left" w:pos="3765"/>
        </w:tabs>
        <w:ind w:left="567" w:hanging="567"/>
        <w:rPr>
          <w:b/>
          <w:bCs/>
          <w:sz w:val="36"/>
          <w:szCs w:val="36"/>
        </w:rPr>
      </w:pPr>
      <w:r w:rsidRPr="00CF24D5">
        <w:rPr>
          <w:b/>
          <w:bCs/>
          <w:sz w:val="36"/>
          <w:szCs w:val="36"/>
        </w:rPr>
        <w:t>Appendices</w:t>
      </w:r>
    </w:p>
    <w:p w14:paraId="2EB1125E" w14:textId="77777777" w:rsidR="00CF24D5" w:rsidRDefault="00CF24D5" w:rsidP="00C3468A">
      <w:pPr>
        <w:tabs>
          <w:tab w:val="left" w:pos="567"/>
          <w:tab w:val="left" w:pos="3765"/>
        </w:tabs>
        <w:ind w:left="567" w:hanging="567"/>
      </w:pPr>
    </w:p>
    <w:p w14:paraId="5A1A635C" w14:textId="77777777" w:rsidR="00CF24D5" w:rsidRDefault="00CF24D5" w:rsidP="00C3468A">
      <w:pPr>
        <w:tabs>
          <w:tab w:val="left" w:pos="567"/>
          <w:tab w:val="left" w:pos="3765"/>
        </w:tabs>
        <w:ind w:left="567" w:hanging="567"/>
        <w:rPr>
          <w:sz w:val="28"/>
          <w:szCs w:val="28"/>
        </w:rPr>
      </w:pPr>
      <w:r w:rsidRPr="00C9046C">
        <w:rPr>
          <w:b/>
          <w:bCs/>
          <w:sz w:val="28"/>
          <w:szCs w:val="28"/>
        </w:rPr>
        <w:t>Appendix 1</w:t>
      </w:r>
      <w:r w:rsidRPr="00CF24D5">
        <w:rPr>
          <w:sz w:val="28"/>
          <w:szCs w:val="28"/>
        </w:rPr>
        <w:t xml:space="preserve"> – The LPA’s Recommended Conditions</w:t>
      </w:r>
    </w:p>
    <w:p w14:paraId="4C1E8587" w14:textId="77777777" w:rsidR="00C9046C" w:rsidRDefault="00C9046C" w:rsidP="00C3468A">
      <w:pPr>
        <w:tabs>
          <w:tab w:val="left" w:pos="567"/>
          <w:tab w:val="left" w:pos="3765"/>
        </w:tabs>
        <w:ind w:left="567" w:hanging="567"/>
        <w:rPr>
          <w:sz w:val="28"/>
          <w:szCs w:val="28"/>
        </w:rPr>
      </w:pPr>
    </w:p>
    <w:p w14:paraId="68BF44D6" w14:textId="77777777" w:rsidR="00C9046C" w:rsidRPr="00CF24D5" w:rsidRDefault="00C9046C" w:rsidP="00D72478">
      <w:pPr>
        <w:tabs>
          <w:tab w:val="left" w:pos="567"/>
          <w:tab w:val="left" w:pos="3765"/>
        </w:tabs>
        <w:ind w:left="567" w:hanging="567"/>
        <w:jc w:val="both"/>
        <w:rPr>
          <w:sz w:val="28"/>
          <w:szCs w:val="28"/>
        </w:rPr>
      </w:pPr>
    </w:p>
    <w:sectPr w:rsidR="00C9046C" w:rsidRPr="00CF24D5" w:rsidSect="00C31FBF">
      <w:headerReference w:type="default" r:id="rId11"/>
      <w:footerReference w:type="even" r:id="rId12"/>
      <w:footerReference w:type="default" r:id="rId13"/>
      <w:headerReference w:type="first" r:id="rId14"/>
      <w:footerReference w:type="first" r:id="rId15"/>
      <w:pgSz w:w="11906" w:h="16838" w:code="9"/>
      <w:pgMar w:top="1134" w:right="1134" w:bottom="1560" w:left="1134" w:header="357" w:footer="55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B636D" w14:textId="77777777" w:rsidR="008C56BC" w:rsidRDefault="008C56BC">
      <w:r>
        <w:separator/>
      </w:r>
    </w:p>
  </w:endnote>
  <w:endnote w:type="continuationSeparator" w:id="0">
    <w:p w14:paraId="14929B0F" w14:textId="77777777" w:rsidR="008C56BC" w:rsidRDefault="008C56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MON_1221990551"/>
  <w:bookmarkEnd w:id="0"/>
  <w:bookmarkStart w:id="1" w:name="_MON_1221990875"/>
  <w:bookmarkEnd w:id="1"/>
  <w:p w14:paraId="4CF6705C" w14:textId="77777777" w:rsidR="00573263" w:rsidRDefault="00573263">
    <w:pPr>
      <w:pStyle w:val="Footer"/>
      <w:ind w:left="-1080" w:right="-1134"/>
      <w:jc w:val="center"/>
    </w:pPr>
    <w:r>
      <w:object w:dxaOrig="11762" w:dyaOrig="2131" w14:anchorId="0E0EDE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88pt;height:106.5pt">
          <v:imagedata r:id="rId1" o:title=""/>
        </v:shape>
        <o:OLEObject Type="Embed" ProgID="Word.Picture.8" ShapeID="_x0000_i1025" DrawAspect="Content" ObjectID="_1850919277" r:id="rId2"/>
      </w:obje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75F43" w14:textId="77777777" w:rsidR="00CA5A9E" w:rsidRDefault="00CA5A9E">
    <w:pPr>
      <w:pStyle w:val="Footer"/>
      <w:jc w:val="right"/>
    </w:pPr>
    <w:r>
      <w:fldChar w:fldCharType="begin"/>
    </w:r>
    <w:r>
      <w:instrText xml:space="preserve"> PAGE   \* MERGEFORMAT </w:instrText>
    </w:r>
    <w:r>
      <w:fldChar w:fldCharType="separate"/>
    </w:r>
    <w:r>
      <w:rPr>
        <w:noProof/>
      </w:rPr>
      <w:t>2</w:t>
    </w:r>
    <w:r>
      <w:rPr>
        <w:noProof/>
      </w:rPr>
      <w:fldChar w:fldCharType="end"/>
    </w:r>
  </w:p>
  <w:p w14:paraId="3C8E624F" w14:textId="77777777" w:rsidR="00CA5A9E" w:rsidRDefault="00CA5A9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445AB" w14:textId="2FBD336E" w:rsidR="00573263" w:rsidRDefault="00CA4EFC" w:rsidP="00664245">
    <w:pPr>
      <w:pStyle w:val="Footer"/>
      <w:tabs>
        <w:tab w:val="clear" w:pos="4153"/>
        <w:tab w:val="clear" w:pos="8306"/>
        <w:tab w:val="left" w:pos="2694"/>
        <w:tab w:val="right" w:pos="5529"/>
      </w:tabs>
    </w:pPr>
    <w:r>
      <w:rPr>
        <w:noProof/>
      </w:rPr>
      <w:drawing>
        <wp:anchor distT="0" distB="0" distL="114300" distR="114300" simplePos="0" relativeHeight="251658240" behindDoc="1" locked="0" layoutInCell="1" allowOverlap="1" wp14:anchorId="5A596941" wp14:editId="49B3946C">
          <wp:simplePos x="0" y="0"/>
          <wp:positionH relativeFrom="column">
            <wp:posOffset>-723265</wp:posOffset>
          </wp:positionH>
          <wp:positionV relativeFrom="paragraph">
            <wp:posOffset>-1558290</wp:posOffset>
          </wp:positionV>
          <wp:extent cx="7556500" cy="2171700"/>
          <wp:effectExtent l="0" t="0" r="0" b="0"/>
          <wp:wrapNone/>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500" cy="21717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lang w:val="en-US"/>
      </w:rPr>
      <mc:AlternateContent>
        <mc:Choice Requires="wps">
          <w:drawing>
            <wp:anchor distT="0" distB="0" distL="114300" distR="114300" simplePos="0" relativeHeight="251657216" behindDoc="0" locked="0" layoutInCell="1" allowOverlap="1" wp14:anchorId="3327D554" wp14:editId="3D33E0B3">
              <wp:simplePos x="0" y="0"/>
              <wp:positionH relativeFrom="column">
                <wp:posOffset>-12700</wp:posOffset>
              </wp:positionH>
              <wp:positionV relativeFrom="paragraph">
                <wp:posOffset>1267460</wp:posOffset>
              </wp:positionV>
              <wp:extent cx="4000500" cy="1371600"/>
              <wp:effectExtent l="0" t="635" r="3175" b="0"/>
              <wp:wrapNone/>
              <wp:docPr id="174625683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137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2FD4E1" w14:textId="77777777" w:rsidR="00573263" w:rsidRDefault="00573263">
                          <w:pPr>
                            <w:spacing w:line="280" w:lineRule="exact"/>
                            <w:rPr>
                              <w:rFonts w:ascii="Trebuchet MS" w:hAnsi="Trebuchet MS"/>
                              <w:b/>
                              <w:sz w:val="20"/>
                            </w:rPr>
                          </w:pPr>
                          <w:r>
                            <w:rPr>
                              <w:rFonts w:ascii="Trebuchet MS" w:hAnsi="Trebuchet MS"/>
                              <w:b/>
                              <w:sz w:val="20"/>
                            </w:rPr>
                            <w:t>Team</w:t>
                          </w:r>
                          <w:r w:rsidR="00D32117">
                            <w:rPr>
                              <w:rFonts w:ascii="Trebuchet MS" w:hAnsi="Trebuchet MS"/>
                              <w:b/>
                              <w:sz w:val="20"/>
                            </w:rPr>
                            <w:t xml:space="preserve"> name</w:t>
                          </w:r>
                        </w:p>
                        <w:p w14:paraId="38067BA7" w14:textId="77777777" w:rsidR="00573263" w:rsidRDefault="00D32117">
                          <w:pPr>
                            <w:spacing w:line="280" w:lineRule="exact"/>
                            <w:rPr>
                              <w:rFonts w:ascii="Trebuchet MS" w:hAnsi="Trebuchet MS"/>
                              <w:b/>
                              <w:sz w:val="20"/>
                            </w:rPr>
                          </w:pPr>
                          <w:r>
                            <w:rPr>
                              <w:rFonts w:ascii="Trebuchet MS" w:hAnsi="Trebuchet MS"/>
                              <w:b/>
                              <w:sz w:val="20"/>
                            </w:rPr>
                            <w:t xml:space="preserve">Directorate </w:t>
                          </w:r>
                        </w:p>
                        <w:p w14:paraId="6BC28D2F" w14:textId="77777777" w:rsidR="00573263" w:rsidRDefault="00573263">
                          <w:pPr>
                            <w:spacing w:line="280" w:lineRule="exact"/>
                            <w:rPr>
                              <w:rFonts w:ascii="Trebuchet MS" w:hAnsi="Trebuchet MS"/>
                              <w:b/>
                              <w:sz w:val="20"/>
                            </w:rPr>
                          </w:pPr>
                          <w:r>
                            <w:rPr>
                              <w:rFonts w:ascii="Trebuchet MS" w:hAnsi="Trebuchet MS"/>
                              <w:b/>
                              <w:sz w:val="20"/>
                            </w:rPr>
                            <w:t xml:space="preserve">T.01895 </w:t>
                          </w:r>
                          <w:r w:rsidR="00D32117">
                            <w:rPr>
                              <w:rFonts w:ascii="Trebuchet MS" w:hAnsi="Trebuchet MS"/>
                              <w:b/>
                              <w:sz w:val="20"/>
                            </w:rPr>
                            <w:t>XXXXXX</w:t>
                          </w:r>
                          <w:r>
                            <w:rPr>
                              <w:rFonts w:ascii="Trebuchet MS" w:hAnsi="Trebuchet MS"/>
                              <w:b/>
                              <w:sz w:val="20"/>
                            </w:rPr>
                            <w:t xml:space="preserve"> </w:t>
                          </w:r>
                          <w:r>
                            <w:rPr>
                              <w:rFonts w:ascii="Trebuchet MS" w:hAnsi="Trebuchet MS"/>
                              <w:b/>
                              <w:sz w:val="20"/>
                            </w:rPr>
                            <w:tab/>
                            <w:t xml:space="preserve">F.01895 </w:t>
                          </w:r>
                          <w:r w:rsidR="00D32117">
                            <w:rPr>
                              <w:rFonts w:ascii="Trebuchet MS" w:hAnsi="Trebuchet MS"/>
                              <w:b/>
                              <w:sz w:val="20"/>
                            </w:rPr>
                            <w:t>XXXXX</w:t>
                          </w:r>
                          <w:r>
                            <w:rPr>
                              <w:rFonts w:ascii="Trebuchet MS" w:hAnsi="Trebuchet MS"/>
                              <w:b/>
                              <w:sz w:val="20"/>
                            </w:rPr>
                            <w:t xml:space="preserve"> </w:t>
                          </w:r>
                        </w:p>
                        <w:p w14:paraId="21AF23E9" w14:textId="77777777" w:rsidR="00573263" w:rsidRDefault="00D32117">
                          <w:pPr>
                            <w:spacing w:line="280" w:lineRule="exact"/>
                            <w:rPr>
                              <w:rFonts w:ascii="Trebuchet MS" w:hAnsi="Trebuchet MS"/>
                              <w:b/>
                              <w:sz w:val="20"/>
                            </w:rPr>
                          </w:pPr>
                          <w:r>
                            <w:rPr>
                              <w:rFonts w:ascii="Trebuchet MS" w:hAnsi="Trebuchet MS"/>
                              <w:b/>
                              <w:sz w:val="20"/>
                            </w:rPr>
                            <w:t>name</w:t>
                          </w:r>
                          <w:r w:rsidR="00573263">
                            <w:rPr>
                              <w:rFonts w:ascii="Trebuchet MS" w:hAnsi="Trebuchet MS"/>
                              <w:b/>
                              <w:sz w:val="20"/>
                            </w:rPr>
                            <w:t>@hillingdon.gov.uk</w:t>
                          </w:r>
                          <w:r w:rsidR="00573263">
                            <w:rPr>
                              <w:rFonts w:ascii="Trebuchet MS" w:hAnsi="Trebuchet MS"/>
                              <w:b/>
                              <w:color w:val="808080"/>
                              <w:sz w:val="20"/>
                            </w:rPr>
                            <w:t xml:space="preserve"> </w:t>
                          </w:r>
                          <w:r w:rsidR="00573263">
                            <w:rPr>
                              <w:rFonts w:ascii="Trebuchet MS" w:hAnsi="Trebuchet MS"/>
                              <w:b/>
                              <w:color w:val="808080"/>
                              <w:sz w:val="20"/>
                            </w:rPr>
                            <w:tab/>
                          </w:r>
                          <w:r w:rsidR="00573263">
                            <w:rPr>
                              <w:rFonts w:ascii="Trebuchet MS" w:hAnsi="Trebuchet MS"/>
                              <w:b/>
                              <w:color w:val="000000"/>
                              <w:sz w:val="20"/>
                            </w:rPr>
                            <w:t>www.hillingdon.gov.uk</w:t>
                          </w:r>
                        </w:p>
                        <w:p w14:paraId="57016168" w14:textId="77777777" w:rsidR="00573263" w:rsidRDefault="00573263">
                          <w:pPr>
                            <w:spacing w:line="280" w:lineRule="exact"/>
                            <w:rPr>
                              <w:rFonts w:ascii="Trebuchet MS" w:hAnsi="Trebuchet MS"/>
                              <w:sz w:val="20"/>
                            </w:rPr>
                          </w:pPr>
                          <w:smartTag w:uri="urn:schemas-microsoft-com:office:smarttags" w:element="place">
                            <w:smartTag w:uri="urn:schemas-microsoft-com:office:smarttags" w:element="City">
                              <w:r>
                                <w:rPr>
                                  <w:rFonts w:ascii="Trebuchet MS" w:hAnsi="Trebuchet MS"/>
                                  <w:sz w:val="20"/>
                                </w:rPr>
                                <w:t>London</w:t>
                              </w:r>
                            </w:smartTag>
                          </w:smartTag>
                          <w:r>
                            <w:rPr>
                              <w:rFonts w:ascii="Trebuchet MS" w:hAnsi="Trebuchet MS"/>
                              <w:sz w:val="20"/>
                            </w:rPr>
                            <w:t xml:space="preserve"> Borough of Hillingdon,</w:t>
                          </w:r>
                        </w:p>
                        <w:p w14:paraId="6B02C2B9" w14:textId="77777777" w:rsidR="00573263" w:rsidRPr="00B70B82" w:rsidRDefault="00D32117">
                          <w:pPr>
                            <w:spacing w:line="280" w:lineRule="exact"/>
                            <w:rPr>
                              <w:rFonts w:ascii="Trebuchet MS" w:hAnsi="Trebuchet MS"/>
                              <w:sz w:val="20"/>
                            </w:rPr>
                          </w:pPr>
                          <w:r>
                            <w:rPr>
                              <w:rFonts w:ascii="Trebuchet MS" w:hAnsi="Trebuchet MS"/>
                              <w:sz w:val="20"/>
                            </w:rPr>
                            <w:t>Building Location</w:t>
                          </w:r>
                          <w:r w:rsidR="00573263">
                            <w:rPr>
                              <w:rFonts w:ascii="Trebuchet MS" w:hAnsi="Trebuchet MS"/>
                              <w:sz w:val="20"/>
                            </w:rPr>
                            <w:t xml:space="preserve">, Civic Centre, </w:t>
                          </w:r>
                          <w:smartTag w:uri="urn:schemas-microsoft-com:office:smarttags" w:element="address">
                            <w:smartTag w:uri="urn:schemas-microsoft-com:office:smarttags" w:element="Street">
                              <w:r w:rsidR="00573263">
                                <w:rPr>
                                  <w:rFonts w:ascii="Trebuchet MS" w:hAnsi="Trebuchet MS"/>
                                  <w:sz w:val="20"/>
                                </w:rPr>
                                <w:t>High Street</w:t>
                              </w:r>
                            </w:smartTag>
                            <w:r w:rsidR="00573263">
                              <w:rPr>
                                <w:rFonts w:ascii="Trebuchet MS" w:hAnsi="Trebuchet MS"/>
                                <w:sz w:val="20"/>
                              </w:rPr>
                              <w:t xml:space="preserve">, </w:t>
                            </w:r>
                            <w:smartTag w:uri="urn:schemas-microsoft-com:office:smarttags" w:element="City">
                              <w:r w:rsidR="00573263">
                                <w:rPr>
                                  <w:rFonts w:ascii="Trebuchet MS" w:hAnsi="Trebuchet MS"/>
                                  <w:sz w:val="20"/>
                                </w:rPr>
                                <w:t>Uxbridge</w:t>
                              </w:r>
                            </w:smartTag>
                            <w:r w:rsidR="00573263">
                              <w:rPr>
                                <w:rFonts w:ascii="Trebuchet MS" w:hAnsi="Trebuchet MS"/>
                                <w:sz w:val="20"/>
                              </w:rPr>
                              <w:t xml:space="preserve">, </w:t>
                            </w:r>
                            <w:smartTag w:uri="urn:schemas-microsoft-com:office:smarttags" w:element="PostalCode">
                              <w:r w:rsidR="00573263">
                                <w:rPr>
                                  <w:rFonts w:ascii="Trebuchet MS" w:hAnsi="Trebuchet MS"/>
                                  <w:sz w:val="20"/>
                                </w:rPr>
                                <w:t>UB8 1UW</w:t>
                              </w:r>
                            </w:smartTag>
                          </w:smartTag>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3327D554" id="_x0000_t202" coordsize="21600,21600" o:spt="202" path="m,l,21600r21600,l21600,xe">
              <v:stroke joinstyle="miter"/>
              <v:path gradientshapeok="t" o:connecttype="rect"/>
            </v:shapetype>
            <v:shape id="Text Box 5" o:spid="_x0000_s1026" type="#_x0000_t202" style="position:absolute;margin-left:-1pt;margin-top:99.8pt;width:315pt;height:10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" filled="f" stroked="f">
              <v:textbox>
                <w:txbxContent>
                  <w:p w14:paraId="1A2FD4E1" w14:textId="77777777" w:rsidR="00573263" w:rsidRDefault="00573263">
                    <w:pPr>
                      <w:spacing w:line="280" w:lineRule="exact"/>
                      <w:rPr>
                        <w:rFonts w:ascii="Trebuchet MS" w:hAnsi="Trebuchet MS"/>
                        <w:b/>
                        <w:sz w:val="20"/>
                      </w:rPr>
                    </w:pPr>
                    <w:r>
                      <w:rPr>
                        <w:rFonts w:ascii="Trebuchet MS" w:hAnsi="Trebuchet MS"/>
                        <w:b/>
                        <w:sz w:val="20"/>
                      </w:rPr>
                      <w:t>Team</w:t>
                    </w:r>
                    <w:r w:rsidR="00D32117">
                      <w:rPr>
                        <w:rFonts w:ascii="Trebuchet MS" w:hAnsi="Trebuchet MS"/>
                        <w:b/>
                        <w:sz w:val="20"/>
                      </w:rPr>
                      <w:t xml:space="preserve"> name</w:t>
                    </w:r>
                  </w:p>
                  <w:p w14:paraId="38067BA7" w14:textId="77777777" w:rsidR="00573263" w:rsidRDefault="00D32117">
                    <w:pPr>
                      <w:spacing w:line="280" w:lineRule="exact"/>
                      <w:rPr>
                        <w:rFonts w:ascii="Trebuchet MS" w:hAnsi="Trebuchet MS"/>
                        <w:b/>
                        <w:sz w:val="20"/>
                      </w:rPr>
                    </w:pPr>
                    <w:r>
                      <w:rPr>
                        <w:rFonts w:ascii="Trebuchet MS" w:hAnsi="Trebuchet MS"/>
                        <w:b/>
                        <w:sz w:val="20"/>
                      </w:rPr>
                      <w:t xml:space="preserve">Directorate </w:t>
                    </w:r>
                  </w:p>
                  <w:p w14:paraId="6BC28D2F" w14:textId="77777777" w:rsidR="00573263" w:rsidRDefault="00573263">
                    <w:pPr>
                      <w:spacing w:line="280" w:lineRule="exact"/>
                      <w:rPr>
                        <w:rFonts w:ascii="Trebuchet MS" w:hAnsi="Trebuchet MS"/>
                        <w:b/>
                        <w:sz w:val="20"/>
                      </w:rPr>
                    </w:pPr>
                    <w:r>
                      <w:rPr>
                        <w:rFonts w:ascii="Trebuchet MS" w:hAnsi="Trebuchet MS"/>
                        <w:b/>
                        <w:sz w:val="20"/>
                      </w:rPr>
                      <w:t xml:space="preserve">T.01895 </w:t>
                    </w:r>
                    <w:r w:rsidR="00D32117">
                      <w:rPr>
                        <w:rFonts w:ascii="Trebuchet MS" w:hAnsi="Trebuchet MS"/>
                        <w:b/>
                        <w:sz w:val="20"/>
                      </w:rPr>
                      <w:t>XXXXXX</w:t>
                    </w:r>
                    <w:r>
                      <w:rPr>
                        <w:rFonts w:ascii="Trebuchet MS" w:hAnsi="Trebuchet MS"/>
                        <w:b/>
                        <w:sz w:val="20"/>
                      </w:rPr>
                      <w:t xml:space="preserve"> </w:t>
                    </w:r>
                    <w:r>
                      <w:rPr>
                        <w:rFonts w:ascii="Trebuchet MS" w:hAnsi="Trebuchet MS"/>
                        <w:b/>
                        <w:sz w:val="20"/>
                      </w:rPr>
                      <w:tab/>
                      <w:t xml:space="preserve">F.01895 </w:t>
                    </w:r>
                    <w:r w:rsidR="00D32117">
                      <w:rPr>
                        <w:rFonts w:ascii="Trebuchet MS" w:hAnsi="Trebuchet MS"/>
                        <w:b/>
                        <w:sz w:val="20"/>
                      </w:rPr>
                      <w:t>XXXXX</w:t>
                    </w:r>
                    <w:r>
                      <w:rPr>
                        <w:rFonts w:ascii="Trebuchet MS" w:hAnsi="Trebuchet MS"/>
                        <w:b/>
                        <w:sz w:val="20"/>
                      </w:rPr>
                      <w:t xml:space="preserve"> </w:t>
                    </w:r>
                  </w:p>
                  <w:p w14:paraId="21AF23E9" w14:textId="77777777" w:rsidR="00573263" w:rsidRDefault="00D32117">
                    <w:pPr>
                      <w:spacing w:line="280" w:lineRule="exact"/>
                      <w:rPr>
                        <w:rFonts w:ascii="Trebuchet MS" w:hAnsi="Trebuchet MS"/>
                        <w:b/>
                        <w:sz w:val="20"/>
                      </w:rPr>
                    </w:pPr>
                    <w:r>
                      <w:rPr>
                        <w:rFonts w:ascii="Trebuchet MS" w:hAnsi="Trebuchet MS"/>
                        <w:b/>
                        <w:sz w:val="20"/>
                      </w:rPr>
                      <w:t>name</w:t>
                    </w:r>
                    <w:r w:rsidR="00573263">
                      <w:rPr>
                        <w:rFonts w:ascii="Trebuchet MS" w:hAnsi="Trebuchet MS"/>
                        <w:b/>
                        <w:sz w:val="20"/>
                      </w:rPr>
                      <w:t>@hillingdon.gov.uk</w:t>
                    </w:r>
                    <w:r w:rsidR="00573263">
                      <w:rPr>
                        <w:rFonts w:ascii="Trebuchet MS" w:hAnsi="Trebuchet MS"/>
                        <w:b/>
                        <w:color w:val="808080"/>
                        <w:sz w:val="20"/>
                      </w:rPr>
                      <w:t xml:space="preserve"> </w:t>
                    </w:r>
                    <w:r w:rsidR="00573263">
                      <w:rPr>
                        <w:rFonts w:ascii="Trebuchet MS" w:hAnsi="Trebuchet MS"/>
                        <w:b/>
                        <w:color w:val="808080"/>
                        <w:sz w:val="20"/>
                      </w:rPr>
                      <w:tab/>
                    </w:r>
                    <w:r w:rsidR="00573263">
                      <w:rPr>
                        <w:rFonts w:ascii="Trebuchet MS" w:hAnsi="Trebuchet MS"/>
                        <w:b/>
                        <w:color w:val="000000"/>
                        <w:sz w:val="20"/>
                      </w:rPr>
                      <w:t>www.hillingdon.gov.uk</w:t>
                    </w:r>
                  </w:p>
                  <w:p w14:paraId="57016168" w14:textId="77777777" w:rsidR="00573263" w:rsidRDefault="00573263">
                    <w:pPr>
                      <w:spacing w:line="280" w:lineRule="exact"/>
                      <w:rPr>
                        <w:rFonts w:ascii="Trebuchet MS" w:hAnsi="Trebuchet MS"/>
                        <w:sz w:val="20"/>
                      </w:rPr>
                    </w:pPr>
                    <w:smartTag w:uri="urn:schemas-microsoft-com:office:smarttags" w:element="City">
                      <w:smartTag w:uri="urn:schemas-microsoft-com:office:smarttags" w:element="place">
                        <w:r>
                          <w:rPr>
                            <w:rFonts w:ascii="Trebuchet MS" w:hAnsi="Trebuchet MS"/>
                            <w:sz w:val="20"/>
                          </w:rPr>
                          <w:t>London</w:t>
                        </w:r>
                      </w:smartTag>
                    </w:smartTag>
                    <w:r>
                      <w:rPr>
                        <w:rFonts w:ascii="Trebuchet MS" w:hAnsi="Trebuchet MS"/>
                        <w:sz w:val="20"/>
                      </w:rPr>
                      <w:t xml:space="preserve"> Borough of Hillingdon,</w:t>
                    </w:r>
                  </w:p>
                  <w:p w14:paraId="6B02C2B9" w14:textId="77777777" w:rsidR="00573263" w:rsidRPr="00B70B82" w:rsidRDefault="00D32117">
                    <w:pPr>
                      <w:spacing w:line="280" w:lineRule="exact"/>
                      <w:rPr>
                        <w:rFonts w:ascii="Trebuchet MS" w:hAnsi="Trebuchet MS"/>
                        <w:sz w:val="20"/>
                      </w:rPr>
                    </w:pPr>
                    <w:r>
                      <w:rPr>
                        <w:rFonts w:ascii="Trebuchet MS" w:hAnsi="Trebuchet MS"/>
                        <w:sz w:val="20"/>
                      </w:rPr>
                      <w:t>Building Location</w:t>
                    </w:r>
                    <w:r w:rsidR="00573263">
                      <w:rPr>
                        <w:rFonts w:ascii="Trebuchet MS" w:hAnsi="Trebuchet MS"/>
                        <w:sz w:val="20"/>
                      </w:rPr>
                      <w:t xml:space="preserve">, Civic Centre, </w:t>
                    </w:r>
                    <w:smartTag w:uri="urn:schemas-microsoft-com:office:smarttags" w:element="address">
                      <w:smartTag w:uri="urn:schemas-microsoft-com:office:smarttags" w:element="Street">
                        <w:r w:rsidR="00573263">
                          <w:rPr>
                            <w:rFonts w:ascii="Trebuchet MS" w:hAnsi="Trebuchet MS"/>
                            <w:sz w:val="20"/>
                          </w:rPr>
                          <w:t>High Street</w:t>
                        </w:r>
                      </w:smartTag>
                      <w:r w:rsidR="00573263">
                        <w:rPr>
                          <w:rFonts w:ascii="Trebuchet MS" w:hAnsi="Trebuchet MS"/>
                          <w:sz w:val="20"/>
                        </w:rPr>
                        <w:t xml:space="preserve">, </w:t>
                      </w:r>
                      <w:smartTag w:uri="urn:schemas-microsoft-com:office:smarttags" w:element="City">
                        <w:r w:rsidR="00573263">
                          <w:rPr>
                            <w:rFonts w:ascii="Trebuchet MS" w:hAnsi="Trebuchet MS"/>
                            <w:sz w:val="20"/>
                          </w:rPr>
                          <w:t>Uxbridge</w:t>
                        </w:r>
                      </w:smartTag>
                      <w:r w:rsidR="00573263">
                        <w:rPr>
                          <w:rFonts w:ascii="Trebuchet MS" w:hAnsi="Trebuchet MS"/>
                          <w:sz w:val="20"/>
                        </w:rPr>
                        <w:t xml:space="preserve">, </w:t>
                      </w:r>
                      <w:smartTag w:uri="urn:schemas-microsoft-com:office:smarttags" w:element="PostalCode">
                        <w:r w:rsidR="00573263">
                          <w:rPr>
                            <w:rFonts w:ascii="Trebuchet MS" w:hAnsi="Trebuchet MS"/>
                            <w:sz w:val="20"/>
                          </w:rPr>
                          <w:t>UB8 1UW</w:t>
                        </w:r>
                      </w:smartTag>
                    </w:smartTag>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1EFA47" w14:textId="77777777" w:rsidR="008C56BC" w:rsidRDefault="008C56BC">
      <w:r>
        <w:separator/>
      </w:r>
    </w:p>
  </w:footnote>
  <w:footnote w:type="continuationSeparator" w:id="0">
    <w:p w14:paraId="501D6E2F" w14:textId="77777777" w:rsidR="008C56BC" w:rsidRDefault="008C56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08298" w14:textId="77777777" w:rsidR="00573263" w:rsidRDefault="00573263">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1A319" w14:textId="1FAC2FDE" w:rsidR="00573263" w:rsidRDefault="00CA4EFC">
    <w:pPr>
      <w:pStyle w:val="Header"/>
      <w:jc w:val="center"/>
    </w:pPr>
    <w:r>
      <w:rPr>
        <w:noProof/>
      </w:rPr>
      <w:drawing>
        <wp:inline distT="0" distB="0" distL="0" distR="0" wp14:anchorId="6B6BA798" wp14:editId="5268F5D8">
          <wp:extent cx="2163445" cy="132651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3445" cy="132651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C4D7E"/>
    <w:multiLevelType w:val="multilevel"/>
    <w:tmpl w:val="56800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9C4C74"/>
    <w:multiLevelType w:val="hybridMultilevel"/>
    <w:tmpl w:val="A1BC31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EE319C"/>
    <w:multiLevelType w:val="hybridMultilevel"/>
    <w:tmpl w:val="DC2AC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515915"/>
    <w:multiLevelType w:val="multilevel"/>
    <w:tmpl w:val="D3C231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BC67C7"/>
    <w:multiLevelType w:val="hybridMultilevel"/>
    <w:tmpl w:val="1B3E9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C37921"/>
    <w:multiLevelType w:val="hybridMultilevel"/>
    <w:tmpl w:val="7E761D08"/>
    <w:lvl w:ilvl="0" w:tplc="47A4E54A">
      <w:start w:val="1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C64417"/>
    <w:multiLevelType w:val="hybridMultilevel"/>
    <w:tmpl w:val="DC540AFA"/>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7" w15:restartNumberingAfterBreak="0">
    <w:nsid w:val="28AE6499"/>
    <w:multiLevelType w:val="hybridMultilevel"/>
    <w:tmpl w:val="2C4AA0B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1AA0EB9"/>
    <w:multiLevelType w:val="hybridMultilevel"/>
    <w:tmpl w:val="210AF7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CA4C02"/>
    <w:multiLevelType w:val="hybridMultilevel"/>
    <w:tmpl w:val="3FCCE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0D2143"/>
    <w:multiLevelType w:val="hybridMultilevel"/>
    <w:tmpl w:val="65222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00042B"/>
    <w:multiLevelType w:val="hybridMultilevel"/>
    <w:tmpl w:val="0CF2E2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CDB61BD"/>
    <w:multiLevelType w:val="hybridMultilevel"/>
    <w:tmpl w:val="BD002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F02E39"/>
    <w:multiLevelType w:val="hybridMultilevel"/>
    <w:tmpl w:val="C024DA3A"/>
    <w:lvl w:ilvl="0" w:tplc="D7F0AAEC">
      <w:start w:val="1"/>
      <w:numFmt w:val="decimal"/>
      <w:lvlText w:val="%1."/>
      <w:lvlJc w:val="left"/>
      <w:pPr>
        <w:ind w:left="765" w:hanging="40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259129A"/>
    <w:multiLevelType w:val="multilevel"/>
    <w:tmpl w:val="99DE8A52"/>
    <w:lvl w:ilvl="0">
      <w:start w:val="1"/>
      <w:numFmt w:val="decimal"/>
      <w:lvlText w:val="%1"/>
      <w:lvlJc w:val="left"/>
      <w:pPr>
        <w:ind w:left="530" w:hanging="530"/>
      </w:pPr>
      <w:rPr>
        <w:rFonts w:hint="default"/>
      </w:rPr>
    </w:lvl>
    <w:lvl w:ilvl="1">
      <w:start w:val="2"/>
      <w:numFmt w:val="decimal"/>
      <w:lvlText w:val="%1.%2"/>
      <w:lvlJc w:val="left"/>
      <w:pPr>
        <w:ind w:left="710" w:hanging="53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15" w15:restartNumberingAfterBreak="0">
    <w:nsid w:val="48133A6B"/>
    <w:multiLevelType w:val="multilevel"/>
    <w:tmpl w:val="D3C23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C24BEB"/>
    <w:multiLevelType w:val="hybridMultilevel"/>
    <w:tmpl w:val="2E501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C97010"/>
    <w:multiLevelType w:val="hybridMultilevel"/>
    <w:tmpl w:val="B3264C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BBF29A0"/>
    <w:multiLevelType w:val="hybridMultilevel"/>
    <w:tmpl w:val="22604564"/>
    <w:lvl w:ilvl="0" w:tplc="DC6EEAC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BD03012"/>
    <w:multiLevelType w:val="multilevel"/>
    <w:tmpl w:val="A2D2C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C565374"/>
    <w:multiLevelType w:val="hybridMultilevel"/>
    <w:tmpl w:val="8996BB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4F621661"/>
    <w:multiLevelType w:val="hybridMultilevel"/>
    <w:tmpl w:val="756C4D08"/>
    <w:lvl w:ilvl="0" w:tplc="DC6EEAC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F7F065F"/>
    <w:multiLevelType w:val="hybridMultilevel"/>
    <w:tmpl w:val="57EEB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1085F1F"/>
    <w:multiLevelType w:val="hybridMultilevel"/>
    <w:tmpl w:val="D2DE4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14F7CEE"/>
    <w:multiLevelType w:val="hybridMultilevel"/>
    <w:tmpl w:val="267248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8712C36"/>
    <w:multiLevelType w:val="hybridMultilevel"/>
    <w:tmpl w:val="AAB0C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DC64FB1"/>
    <w:multiLevelType w:val="hybridMultilevel"/>
    <w:tmpl w:val="C8FC1CDA"/>
    <w:lvl w:ilvl="0" w:tplc="47A4E54A">
      <w:start w:val="1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FD7798A"/>
    <w:multiLevelType w:val="hybridMultilevel"/>
    <w:tmpl w:val="640A4890"/>
    <w:lvl w:ilvl="0" w:tplc="DC6EEAC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1802525"/>
    <w:multiLevelType w:val="multilevel"/>
    <w:tmpl w:val="18A6011A"/>
    <w:lvl w:ilvl="0">
      <w:start w:val="1"/>
      <w:numFmt w:val="decimal"/>
      <w:lvlText w:val="%1."/>
      <w:lvlJc w:val="left"/>
      <w:pPr>
        <w:ind w:left="720" w:hanging="360"/>
      </w:pPr>
      <w:rPr>
        <w:rFonts w:hint="default"/>
      </w:rPr>
    </w:lvl>
    <w:lvl w:ilvl="1">
      <w:start w:val="3"/>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4D92753"/>
    <w:multiLevelType w:val="hybridMultilevel"/>
    <w:tmpl w:val="028027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8EE3F81"/>
    <w:multiLevelType w:val="hybridMultilevel"/>
    <w:tmpl w:val="E4FAE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A546140"/>
    <w:multiLevelType w:val="hybridMultilevel"/>
    <w:tmpl w:val="480095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B5E412C"/>
    <w:multiLevelType w:val="hybridMultilevel"/>
    <w:tmpl w:val="E90637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941096A"/>
    <w:multiLevelType w:val="hybridMultilevel"/>
    <w:tmpl w:val="EE2A4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DC00DB8"/>
    <w:multiLevelType w:val="hybridMultilevel"/>
    <w:tmpl w:val="05B68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65603295">
    <w:abstractNumId w:val="0"/>
  </w:num>
  <w:num w:numId="2" w16cid:durableId="1618751399">
    <w:abstractNumId w:val="9"/>
  </w:num>
  <w:num w:numId="3" w16cid:durableId="1554150239">
    <w:abstractNumId w:val="32"/>
  </w:num>
  <w:num w:numId="4" w16cid:durableId="1208957949">
    <w:abstractNumId w:val="7"/>
  </w:num>
  <w:num w:numId="5" w16cid:durableId="379595118">
    <w:abstractNumId w:val="22"/>
  </w:num>
  <w:num w:numId="6" w16cid:durableId="418411297">
    <w:abstractNumId w:val="27"/>
  </w:num>
  <w:num w:numId="7" w16cid:durableId="4329098">
    <w:abstractNumId w:val="18"/>
  </w:num>
  <w:num w:numId="8" w16cid:durableId="2094663181">
    <w:abstractNumId w:val="21"/>
  </w:num>
  <w:num w:numId="9" w16cid:durableId="1664822124">
    <w:abstractNumId w:val="10"/>
  </w:num>
  <w:num w:numId="10" w16cid:durableId="16319318">
    <w:abstractNumId w:val="31"/>
  </w:num>
  <w:num w:numId="11" w16cid:durableId="424958249">
    <w:abstractNumId w:val="11"/>
  </w:num>
  <w:num w:numId="12" w16cid:durableId="1392584047">
    <w:abstractNumId w:val="17"/>
  </w:num>
  <w:num w:numId="13" w16cid:durableId="1428771977">
    <w:abstractNumId w:val="30"/>
  </w:num>
  <w:num w:numId="14" w16cid:durableId="1139882271">
    <w:abstractNumId w:val="1"/>
  </w:num>
  <w:num w:numId="15" w16cid:durableId="512306046">
    <w:abstractNumId w:val="16"/>
  </w:num>
  <w:num w:numId="16" w16cid:durableId="1109861629">
    <w:abstractNumId w:val="33"/>
  </w:num>
  <w:num w:numId="17" w16cid:durableId="909576871">
    <w:abstractNumId w:val="4"/>
  </w:num>
  <w:num w:numId="18" w16cid:durableId="1539077952">
    <w:abstractNumId w:val="19"/>
  </w:num>
  <w:num w:numId="19" w16cid:durableId="547497999">
    <w:abstractNumId w:val="2"/>
  </w:num>
  <w:num w:numId="20" w16cid:durableId="127170354">
    <w:abstractNumId w:val="34"/>
  </w:num>
  <w:num w:numId="21" w16cid:durableId="2055426993">
    <w:abstractNumId w:val="26"/>
  </w:num>
  <w:num w:numId="22" w16cid:durableId="1679187797">
    <w:abstractNumId w:val="5"/>
  </w:num>
  <w:num w:numId="23" w16cid:durableId="2113282379">
    <w:abstractNumId w:val="25"/>
  </w:num>
  <w:num w:numId="24" w16cid:durableId="1600260464">
    <w:abstractNumId w:val="13"/>
  </w:num>
  <w:num w:numId="25" w16cid:durableId="942884093">
    <w:abstractNumId w:val="28"/>
  </w:num>
  <w:num w:numId="26" w16cid:durableId="1489975607">
    <w:abstractNumId w:val="29"/>
  </w:num>
  <w:num w:numId="27" w16cid:durableId="614990895">
    <w:abstractNumId w:val="23"/>
  </w:num>
  <w:num w:numId="28" w16cid:durableId="498689831">
    <w:abstractNumId w:val="12"/>
  </w:num>
  <w:num w:numId="29" w16cid:durableId="415248909">
    <w:abstractNumId w:val="14"/>
  </w:num>
  <w:num w:numId="30" w16cid:durableId="1088649306">
    <w:abstractNumId w:val="15"/>
  </w:num>
  <w:num w:numId="31" w16cid:durableId="1594970507">
    <w:abstractNumId w:val="3"/>
  </w:num>
  <w:num w:numId="32" w16cid:durableId="1509438855">
    <w:abstractNumId w:val="20"/>
  </w:num>
  <w:num w:numId="33" w16cid:durableId="1639995646">
    <w:abstractNumId w:val="24"/>
  </w:num>
  <w:num w:numId="34" w16cid:durableId="1639409047">
    <w:abstractNumId w:val="8"/>
  </w:num>
  <w:num w:numId="35" w16cid:durableId="50451756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B82"/>
    <w:rsid w:val="000044D5"/>
    <w:rsid w:val="00005289"/>
    <w:rsid w:val="000109BC"/>
    <w:rsid w:val="00011DF2"/>
    <w:rsid w:val="00013CC7"/>
    <w:rsid w:val="00014692"/>
    <w:rsid w:val="00016D92"/>
    <w:rsid w:val="00017EA9"/>
    <w:rsid w:val="00026274"/>
    <w:rsid w:val="00035583"/>
    <w:rsid w:val="000362E1"/>
    <w:rsid w:val="00036DDC"/>
    <w:rsid w:val="000417A3"/>
    <w:rsid w:val="00055016"/>
    <w:rsid w:val="00061012"/>
    <w:rsid w:val="00073F9B"/>
    <w:rsid w:val="0007616F"/>
    <w:rsid w:val="00084468"/>
    <w:rsid w:val="00085AFE"/>
    <w:rsid w:val="00086749"/>
    <w:rsid w:val="000879F1"/>
    <w:rsid w:val="00091508"/>
    <w:rsid w:val="000938E1"/>
    <w:rsid w:val="00095575"/>
    <w:rsid w:val="000B0986"/>
    <w:rsid w:val="000B0E7D"/>
    <w:rsid w:val="000B6304"/>
    <w:rsid w:val="000C13D9"/>
    <w:rsid w:val="000C3AEF"/>
    <w:rsid w:val="000C4E09"/>
    <w:rsid w:val="000E273E"/>
    <w:rsid w:val="000E2AD5"/>
    <w:rsid w:val="000E2F45"/>
    <w:rsid w:val="000E3BFE"/>
    <w:rsid w:val="001023CC"/>
    <w:rsid w:val="00103C7C"/>
    <w:rsid w:val="0010792B"/>
    <w:rsid w:val="00116ACF"/>
    <w:rsid w:val="00117E96"/>
    <w:rsid w:val="0012461C"/>
    <w:rsid w:val="00124D98"/>
    <w:rsid w:val="0013443C"/>
    <w:rsid w:val="00141404"/>
    <w:rsid w:val="001425FB"/>
    <w:rsid w:val="001453EE"/>
    <w:rsid w:val="00145D03"/>
    <w:rsid w:val="00151B20"/>
    <w:rsid w:val="0015364F"/>
    <w:rsid w:val="00157A13"/>
    <w:rsid w:val="00170071"/>
    <w:rsid w:val="00170873"/>
    <w:rsid w:val="00177127"/>
    <w:rsid w:val="001828FC"/>
    <w:rsid w:val="00182B22"/>
    <w:rsid w:val="00190E09"/>
    <w:rsid w:val="001966BD"/>
    <w:rsid w:val="001A1264"/>
    <w:rsid w:val="001B3EA8"/>
    <w:rsid w:val="001B6848"/>
    <w:rsid w:val="001B6BE0"/>
    <w:rsid w:val="001B6D27"/>
    <w:rsid w:val="001B7D8B"/>
    <w:rsid w:val="001C310B"/>
    <w:rsid w:val="001C3FA9"/>
    <w:rsid w:val="001C6623"/>
    <w:rsid w:val="001F0FE6"/>
    <w:rsid w:val="001F3EA4"/>
    <w:rsid w:val="001F43DD"/>
    <w:rsid w:val="001F4627"/>
    <w:rsid w:val="001F47CC"/>
    <w:rsid w:val="001F4B45"/>
    <w:rsid w:val="001F7BD8"/>
    <w:rsid w:val="00210A59"/>
    <w:rsid w:val="00226EF9"/>
    <w:rsid w:val="002301B0"/>
    <w:rsid w:val="00240EC9"/>
    <w:rsid w:val="002464B9"/>
    <w:rsid w:val="00246B8A"/>
    <w:rsid w:val="00253810"/>
    <w:rsid w:val="002547DC"/>
    <w:rsid w:val="00265D7D"/>
    <w:rsid w:val="00266737"/>
    <w:rsid w:val="002672F9"/>
    <w:rsid w:val="002708F8"/>
    <w:rsid w:val="00283B88"/>
    <w:rsid w:val="002929F3"/>
    <w:rsid w:val="0029539D"/>
    <w:rsid w:val="002A3F3C"/>
    <w:rsid w:val="002A526A"/>
    <w:rsid w:val="002B008F"/>
    <w:rsid w:val="002B03CF"/>
    <w:rsid w:val="002B2A3D"/>
    <w:rsid w:val="002B4190"/>
    <w:rsid w:val="002B480E"/>
    <w:rsid w:val="002D4227"/>
    <w:rsid w:val="002D4D6C"/>
    <w:rsid w:val="002E6207"/>
    <w:rsid w:val="002F0DC9"/>
    <w:rsid w:val="002F3A88"/>
    <w:rsid w:val="0030079D"/>
    <w:rsid w:val="00300EAB"/>
    <w:rsid w:val="00306448"/>
    <w:rsid w:val="003112A8"/>
    <w:rsid w:val="00312183"/>
    <w:rsid w:val="00320ED2"/>
    <w:rsid w:val="0032193A"/>
    <w:rsid w:val="003221B1"/>
    <w:rsid w:val="00330054"/>
    <w:rsid w:val="003300B7"/>
    <w:rsid w:val="00343404"/>
    <w:rsid w:val="003448B5"/>
    <w:rsid w:val="0035141A"/>
    <w:rsid w:val="0035346E"/>
    <w:rsid w:val="003564DE"/>
    <w:rsid w:val="0036244F"/>
    <w:rsid w:val="00365AEE"/>
    <w:rsid w:val="00370A21"/>
    <w:rsid w:val="00372D61"/>
    <w:rsid w:val="00377896"/>
    <w:rsid w:val="00380805"/>
    <w:rsid w:val="00384043"/>
    <w:rsid w:val="0039268A"/>
    <w:rsid w:val="003B4DA8"/>
    <w:rsid w:val="003C07B8"/>
    <w:rsid w:val="003C432C"/>
    <w:rsid w:val="003D5C96"/>
    <w:rsid w:val="003E0CFA"/>
    <w:rsid w:val="003E6444"/>
    <w:rsid w:val="003F3CDA"/>
    <w:rsid w:val="003F70F9"/>
    <w:rsid w:val="003F7E4D"/>
    <w:rsid w:val="004047F9"/>
    <w:rsid w:val="004141FB"/>
    <w:rsid w:val="00420475"/>
    <w:rsid w:val="00423BCA"/>
    <w:rsid w:val="00424EA8"/>
    <w:rsid w:val="004254BD"/>
    <w:rsid w:val="004269B5"/>
    <w:rsid w:val="00435238"/>
    <w:rsid w:val="00435B9E"/>
    <w:rsid w:val="0043783E"/>
    <w:rsid w:val="004437A5"/>
    <w:rsid w:val="00444BC9"/>
    <w:rsid w:val="00444C44"/>
    <w:rsid w:val="00453179"/>
    <w:rsid w:val="00473A7E"/>
    <w:rsid w:val="0048065F"/>
    <w:rsid w:val="00485F5C"/>
    <w:rsid w:val="00486AB3"/>
    <w:rsid w:val="004911FC"/>
    <w:rsid w:val="00492741"/>
    <w:rsid w:val="004A3A4F"/>
    <w:rsid w:val="004B0195"/>
    <w:rsid w:val="004B30C8"/>
    <w:rsid w:val="004B58EC"/>
    <w:rsid w:val="004D1B89"/>
    <w:rsid w:val="004D1E07"/>
    <w:rsid w:val="004D4F9A"/>
    <w:rsid w:val="004D593D"/>
    <w:rsid w:val="004E199B"/>
    <w:rsid w:val="004E687A"/>
    <w:rsid w:val="004F0E02"/>
    <w:rsid w:val="004F49F7"/>
    <w:rsid w:val="00504C23"/>
    <w:rsid w:val="00510D7E"/>
    <w:rsid w:val="00516E25"/>
    <w:rsid w:val="005179CE"/>
    <w:rsid w:val="0052115A"/>
    <w:rsid w:val="00523EA6"/>
    <w:rsid w:val="00524B34"/>
    <w:rsid w:val="00524BA8"/>
    <w:rsid w:val="0052597C"/>
    <w:rsid w:val="005259CC"/>
    <w:rsid w:val="00533DB4"/>
    <w:rsid w:val="005365E0"/>
    <w:rsid w:val="00542AD4"/>
    <w:rsid w:val="00542FE7"/>
    <w:rsid w:val="00547B6B"/>
    <w:rsid w:val="00554EF4"/>
    <w:rsid w:val="005665E5"/>
    <w:rsid w:val="00566FDB"/>
    <w:rsid w:val="00571484"/>
    <w:rsid w:val="00573263"/>
    <w:rsid w:val="005742CE"/>
    <w:rsid w:val="005808AB"/>
    <w:rsid w:val="00583ADE"/>
    <w:rsid w:val="00583B72"/>
    <w:rsid w:val="00583BEE"/>
    <w:rsid w:val="00584AB0"/>
    <w:rsid w:val="00585E27"/>
    <w:rsid w:val="00587170"/>
    <w:rsid w:val="005A130C"/>
    <w:rsid w:val="005A1B2A"/>
    <w:rsid w:val="005B02DF"/>
    <w:rsid w:val="005B2DF2"/>
    <w:rsid w:val="005B3CE2"/>
    <w:rsid w:val="005B7BCD"/>
    <w:rsid w:val="005C13BA"/>
    <w:rsid w:val="005C5808"/>
    <w:rsid w:val="005D0432"/>
    <w:rsid w:val="005D285C"/>
    <w:rsid w:val="005F5B72"/>
    <w:rsid w:val="006142C8"/>
    <w:rsid w:val="006314D3"/>
    <w:rsid w:val="00634CCF"/>
    <w:rsid w:val="00642B94"/>
    <w:rsid w:val="00642C12"/>
    <w:rsid w:val="0064481A"/>
    <w:rsid w:val="00644B26"/>
    <w:rsid w:val="006463F7"/>
    <w:rsid w:val="006464B1"/>
    <w:rsid w:val="0065514F"/>
    <w:rsid w:val="00661FF6"/>
    <w:rsid w:val="00664245"/>
    <w:rsid w:val="006729A6"/>
    <w:rsid w:val="0067766B"/>
    <w:rsid w:val="00691531"/>
    <w:rsid w:val="0069263B"/>
    <w:rsid w:val="00694688"/>
    <w:rsid w:val="006A0A81"/>
    <w:rsid w:val="006B0A39"/>
    <w:rsid w:val="006B3804"/>
    <w:rsid w:val="006B7345"/>
    <w:rsid w:val="006C15D3"/>
    <w:rsid w:val="006C1EB4"/>
    <w:rsid w:val="006C4CF8"/>
    <w:rsid w:val="006C59D3"/>
    <w:rsid w:val="006C723C"/>
    <w:rsid w:val="006D034C"/>
    <w:rsid w:val="006D342F"/>
    <w:rsid w:val="006D48D7"/>
    <w:rsid w:val="006D4BBB"/>
    <w:rsid w:val="006E0B92"/>
    <w:rsid w:val="006E4125"/>
    <w:rsid w:val="006E55F6"/>
    <w:rsid w:val="006E5715"/>
    <w:rsid w:val="006E649A"/>
    <w:rsid w:val="006E6BF9"/>
    <w:rsid w:val="006F3831"/>
    <w:rsid w:val="00701926"/>
    <w:rsid w:val="0071252B"/>
    <w:rsid w:val="00713383"/>
    <w:rsid w:val="00714F89"/>
    <w:rsid w:val="007155DD"/>
    <w:rsid w:val="00716A47"/>
    <w:rsid w:val="007219B3"/>
    <w:rsid w:val="0072429B"/>
    <w:rsid w:val="00724EE0"/>
    <w:rsid w:val="00727F6E"/>
    <w:rsid w:val="0073220A"/>
    <w:rsid w:val="0073305D"/>
    <w:rsid w:val="007367F2"/>
    <w:rsid w:val="007373DA"/>
    <w:rsid w:val="00747642"/>
    <w:rsid w:val="00747E0D"/>
    <w:rsid w:val="007562EC"/>
    <w:rsid w:val="00757AE9"/>
    <w:rsid w:val="007813B0"/>
    <w:rsid w:val="007878B1"/>
    <w:rsid w:val="007903BD"/>
    <w:rsid w:val="00792118"/>
    <w:rsid w:val="007922D0"/>
    <w:rsid w:val="00794234"/>
    <w:rsid w:val="007942C4"/>
    <w:rsid w:val="00795A0C"/>
    <w:rsid w:val="00795FBE"/>
    <w:rsid w:val="007A0502"/>
    <w:rsid w:val="007A178E"/>
    <w:rsid w:val="007B32E7"/>
    <w:rsid w:val="007B3D8E"/>
    <w:rsid w:val="007B4664"/>
    <w:rsid w:val="007B76EB"/>
    <w:rsid w:val="007C0912"/>
    <w:rsid w:val="007E3C35"/>
    <w:rsid w:val="007E3C5A"/>
    <w:rsid w:val="007F5783"/>
    <w:rsid w:val="007F58B7"/>
    <w:rsid w:val="00800CDB"/>
    <w:rsid w:val="0080289B"/>
    <w:rsid w:val="008154A3"/>
    <w:rsid w:val="00817B86"/>
    <w:rsid w:val="00821417"/>
    <w:rsid w:val="008228B0"/>
    <w:rsid w:val="008229E2"/>
    <w:rsid w:val="008259E9"/>
    <w:rsid w:val="008277C1"/>
    <w:rsid w:val="00833AD5"/>
    <w:rsid w:val="008365EE"/>
    <w:rsid w:val="008368FE"/>
    <w:rsid w:val="008402E4"/>
    <w:rsid w:val="00843117"/>
    <w:rsid w:val="008437AB"/>
    <w:rsid w:val="00845EDB"/>
    <w:rsid w:val="00852E83"/>
    <w:rsid w:val="008553AC"/>
    <w:rsid w:val="00861BB4"/>
    <w:rsid w:val="00861DB3"/>
    <w:rsid w:val="00865E81"/>
    <w:rsid w:val="008664D4"/>
    <w:rsid w:val="0086684F"/>
    <w:rsid w:val="008717D8"/>
    <w:rsid w:val="008755D1"/>
    <w:rsid w:val="0088092E"/>
    <w:rsid w:val="008814CF"/>
    <w:rsid w:val="00881E27"/>
    <w:rsid w:val="008863F7"/>
    <w:rsid w:val="00886D89"/>
    <w:rsid w:val="00890679"/>
    <w:rsid w:val="0089335C"/>
    <w:rsid w:val="008935A2"/>
    <w:rsid w:val="00895ACB"/>
    <w:rsid w:val="00897B21"/>
    <w:rsid w:val="008A486A"/>
    <w:rsid w:val="008A5B6D"/>
    <w:rsid w:val="008B26C0"/>
    <w:rsid w:val="008B3F20"/>
    <w:rsid w:val="008B6287"/>
    <w:rsid w:val="008C00A1"/>
    <w:rsid w:val="008C2D5C"/>
    <w:rsid w:val="008C423C"/>
    <w:rsid w:val="008C559E"/>
    <w:rsid w:val="008C56BC"/>
    <w:rsid w:val="008D01B6"/>
    <w:rsid w:val="008D0269"/>
    <w:rsid w:val="008D241E"/>
    <w:rsid w:val="008D5AE8"/>
    <w:rsid w:val="008D6C37"/>
    <w:rsid w:val="008D7DAC"/>
    <w:rsid w:val="008E47E3"/>
    <w:rsid w:val="008E4F8C"/>
    <w:rsid w:val="008E7039"/>
    <w:rsid w:val="009026E0"/>
    <w:rsid w:val="009077A3"/>
    <w:rsid w:val="009227FE"/>
    <w:rsid w:val="00944519"/>
    <w:rsid w:val="009465DD"/>
    <w:rsid w:val="00953B40"/>
    <w:rsid w:val="00954751"/>
    <w:rsid w:val="00954CB6"/>
    <w:rsid w:val="009564B2"/>
    <w:rsid w:val="00965913"/>
    <w:rsid w:val="009740E7"/>
    <w:rsid w:val="00975134"/>
    <w:rsid w:val="009835EF"/>
    <w:rsid w:val="009862EA"/>
    <w:rsid w:val="0099034A"/>
    <w:rsid w:val="009934FF"/>
    <w:rsid w:val="00994B9F"/>
    <w:rsid w:val="00996640"/>
    <w:rsid w:val="009A3C5E"/>
    <w:rsid w:val="009A7DC5"/>
    <w:rsid w:val="009B1146"/>
    <w:rsid w:val="009B1425"/>
    <w:rsid w:val="009B40C6"/>
    <w:rsid w:val="009B6F7E"/>
    <w:rsid w:val="009B77B5"/>
    <w:rsid w:val="009D0FC5"/>
    <w:rsid w:val="009E2C57"/>
    <w:rsid w:val="009F57D5"/>
    <w:rsid w:val="009F62C7"/>
    <w:rsid w:val="00A041BE"/>
    <w:rsid w:val="00A04FC0"/>
    <w:rsid w:val="00A10C08"/>
    <w:rsid w:val="00A12FAD"/>
    <w:rsid w:val="00A21112"/>
    <w:rsid w:val="00A34439"/>
    <w:rsid w:val="00A405BB"/>
    <w:rsid w:val="00A40D2F"/>
    <w:rsid w:val="00A427E0"/>
    <w:rsid w:val="00A52B04"/>
    <w:rsid w:val="00A6402D"/>
    <w:rsid w:val="00A701BD"/>
    <w:rsid w:val="00A80A62"/>
    <w:rsid w:val="00A8562C"/>
    <w:rsid w:val="00A8649E"/>
    <w:rsid w:val="00A95C95"/>
    <w:rsid w:val="00AA3EF8"/>
    <w:rsid w:val="00AB1797"/>
    <w:rsid w:val="00AB2D68"/>
    <w:rsid w:val="00AB6247"/>
    <w:rsid w:val="00AD0C04"/>
    <w:rsid w:val="00AD2847"/>
    <w:rsid w:val="00AD341D"/>
    <w:rsid w:val="00AD3771"/>
    <w:rsid w:val="00AD5497"/>
    <w:rsid w:val="00AE6004"/>
    <w:rsid w:val="00AE7FF0"/>
    <w:rsid w:val="00AF0B28"/>
    <w:rsid w:val="00AF323E"/>
    <w:rsid w:val="00AF3BDB"/>
    <w:rsid w:val="00AF4ACE"/>
    <w:rsid w:val="00B20723"/>
    <w:rsid w:val="00B2682A"/>
    <w:rsid w:val="00B276A3"/>
    <w:rsid w:val="00B43E03"/>
    <w:rsid w:val="00B517C4"/>
    <w:rsid w:val="00B5347B"/>
    <w:rsid w:val="00B57E46"/>
    <w:rsid w:val="00B60AD6"/>
    <w:rsid w:val="00B610B9"/>
    <w:rsid w:val="00B64CE5"/>
    <w:rsid w:val="00B70B82"/>
    <w:rsid w:val="00B731F3"/>
    <w:rsid w:val="00B74C61"/>
    <w:rsid w:val="00B753A3"/>
    <w:rsid w:val="00B97C02"/>
    <w:rsid w:val="00BA0A17"/>
    <w:rsid w:val="00BA39D4"/>
    <w:rsid w:val="00BC6FFC"/>
    <w:rsid w:val="00BC769E"/>
    <w:rsid w:val="00BD344C"/>
    <w:rsid w:val="00BE0B0F"/>
    <w:rsid w:val="00BE3801"/>
    <w:rsid w:val="00BF67A7"/>
    <w:rsid w:val="00C01D84"/>
    <w:rsid w:val="00C01E78"/>
    <w:rsid w:val="00C041CC"/>
    <w:rsid w:val="00C3021B"/>
    <w:rsid w:val="00C31FBF"/>
    <w:rsid w:val="00C3468A"/>
    <w:rsid w:val="00C35A5D"/>
    <w:rsid w:val="00C440D7"/>
    <w:rsid w:val="00C52072"/>
    <w:rsid w:val="00C52204"/>
    <w:rsid w:val="00C6236C"/>
    <w:rsid w:val="00C62FB3"/>
    <w:rsid w:val="00C719C4"/>
    <w:rsid w:val="00C727DA"/>
    <w:rsid w:val="00C76C55"/>
    <w:rsid w:val="00C77359"/>
    <w:rsid w:val="00C85503"/>
    <w:rsid w:val="00C867B1"/>
    <w:rsid w:val="00C9046C"/>
    <w:rsid w:val="00C9662C"/>
    <w:rsid w:val="00CA020C"/>
    <w:rsid w:val="00CA4EFC"/>
    <w:rsid w:val="00CA5A9E"/>
    <w:rsid w:val="00CA6030"/>
    <w:rsid w:val="00CA714E"/>
    <w:rsid w:val="00CB1841"/>
    <w:rsid w:val="00CB1E34"/>
    <w:rsid w:val="00CB21BA"/>
    <w:rsid w:val="00CB4228"/>
    <w:rsid w:val="00CC0367"/>
    <w:rsid w:val="00CC7446"/>
    <w:rsid w:val="00CD12DC"/>
    <w:rsid w:val="00CD21DD"/>
    <w:rsid w:val="00CD27B3"/>
    <w:rsid w:val="00CD5B80"/>
    <w:rsid w:val="00CE4F43"/>
    <w:rsid w:val="00CE5309"/>
    <w:rsid w:val="00CE78CA"/>
    <w:rsid w:val="00CF24D5"/>
    <w:rsid w:val="00D004C2"/>
    <w:rsid w:val="00D0145B"/>
    <w:rsid w:val="00D13A2B"/>
    <w:rsid w:val="00D17239"/>
    <w:rsid w:val="00D201F5"/>
    <w:rsid w:val="00D22D58"/>
    <w:rsid w:val="00D2448D"/>
    <w:rsid w:val="00D32117"/>
    <w:rsid w:val="00D33ABD"/>
    <w:rsid w:val="00D350DA"/>
    <w:rsid w:val="00D36C4E"/>
    <w:rsid w:val="00D40B91"/>
    <w:rsid w:val="00D51DFF"/>
    <w:rsid w:val="00D5572E"/>
    <w:rsid w:val="00D60025"/>
    <w:rsid w:val="00D66886"/>
    <w:rsid w:val="00D72478"/>
    <w:rsid w:val="00D737C7"/>
    <w:rsid w:val="00D75436"/>
    <w:rsid w:val="00D81A7D"/>
    <w:rsid w:val="00D920E6"/>
    <w:rsid w:val="00D97DC5"/>
    <w:rsid w:val="00DA4096"/>
    <w:rsid w:val="00DA725B"/>
    <w:rsid w:val="00DD0E62"/>
    <w:rsid w:val="00DD6158"/>
    <w:rsid w:val="00DE24CE"/>
    <w:rsid w:val="00DE5600"/>
    <w:rsid w:val="00DF154E"/>
    <w:rsid w:val="00DF3384"/>
    <w:rsid w:val="00E05CDF"/>
    <w:rsid w:val="00E132C4"/>
    <w:rsid w:val="00E212E4"/>
    <w:rsid w:val="00E26C91"/>
    <w:rsid w:val="00E32EEE"/>
    <w:rsid w:val="00E36030"/>
    <w:rsid w:val="00E50E27"/>
    <w:rsid w:val="00E51CBB"/>
    <w:rsid w:val="00E56973"/>
    <w:rsid w:val="00E60CAE"/>
    <w:rsid w:val="00E729A6"/>
    <w:rsid w:val="00E816A2"/>
    <w:rsid w:val="00E826AC"/>
    <w:rsid w:val="00E8293A"/>
    <w:rsid w:val="00E868D8"/>
    <w:rsid w:val="00E90FDC"/>
    <w:rsid w:val="00E9156D"/>
    <w:rsid w:val="00E94268"/>
    <w:rsid w:val="00EB187B"/>
    <w:rsid w:val="00EC0D16"/>
    <w:rsid w:val="00EC5057"/>
    <w:rsid w:val="00ED2630"/>
    <w:rsid w:val="00ED43A2"/>
    <w:rsid w:val="00EE58DD"/>
    <w:rsid w:val="00EF25DE"/>
    <w:rsid w:val="00EF480F"/>
    <w:rsid w:val="00EF5672"/>
    <w:rsid w:val="00EF61FB"/>
    <w:rsid w:val="00F03EE8"/>
    <w:rsid w:val="00F10F9F"/>
    <w:rsid w:val="00F116A3"/>
    <w:rsid w:val="00F11F38"/>
    <w:rsid w:val="00F145EE"/>
    <w:rsid w:val="00F17ED3"/>
    <w:rsid w:val="00F17F81"/>
    <w:rsid w:val="00F20935"/>
    <w:rsid w:val="00F2386A"/>
    <w:rsid w:val="00F37454"/>
    <w:rsid w:val="00F42C7A"/>
    <w:rsid w:val="00F46B01"/>
    <w:rsid w:val="00F47C84"/>
    <w:rsid w:val="00F47D44"/>
    <w:rsid w:val="00F5289F"/>
    <w:rsid w:val="00F5338F"/>
    <w:rsid w:val="00F55109"/>
    <w:rsid w:val="00F6157A"/>
    <w:rsid w:val="00F61E6B"/>
    <w:rsid w:val="00F9437B"/>
    <w:rsid w:val="00F943F7"/>
    <w:rsid w:val="00FA681F"/>
    <w:rsid w:val="00FA71B9"/>
    <w:rsid w:val="00FA749B"/>
    <w:rsid w:val="00FB1CD0"/>
    <w:rsid w:val="00FB5C23"/>
    <w:rsid w:val="00FC45B2"/>
    <w:rsid w:val="00FD26A3"/>
    <w:rsid w:val="00FD30E7"/>
    <w:rsid w:val="00FE54D3"/>
    <w:rsid w:val="00FE6514"/>
    <w:rsid w:val="00FE731F"/>
    <w:rsid w:val="00FF01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PostalCode"/>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6DF5CD40"/>
  <w15:chartTrackingRefBased/>
  <w15:docId w15:val="{F3083B2F-34EA-4B42-BEC6-9D47C4EF2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lang w:eastAsia="en-US"/>
    </w:rPr>
  </w:style>
  <w:style w:type="paragraph" w:styleId="Heading1">
    <w:name w:val="heading 1"/>
    <w:basedOn w:val="Normal"/>
    <w:next w:val="Normal"/>
    <w:link w:val="Heading1Char"/>
    <w:qFormat/>
    <w:rsid w:val="003564DE"/>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semiHidden/>
    <w:unhideWhenUsed/>
    <w:qFormat/>
    <w:rsid w:val="00095575"/>
    <w:pPr>
      <w:keepNext/>
      <w:keepLines/>
      <w:spacing w:before="4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link w:val="Heading3Char"/>
    <w:uiPriority w:val="9"/>
    <w:qFormat/>
    <w:rsid w:val="005742CE"/>
    <w:pPr>
      <w:spacing w:before="100" w:beforeAutospacing="1" w:after="100" w:afterAutospacing="1"/>
      <w:outlineLvl w:val="2"/>
    </w:pPr>
    <w:rPr>
      <w:rFonts w:ascii="Times New Roman" w:hAnsi="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table" w:styleId="TableGrid">
    <w:name w:val="Table Grid"/>
    <w:basedOn w:val="TableNormal"/>
    <w:rsid w:val="00017E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B517C4"/>
    <w:rPr>
      <w:color w:val="605E5C"/>
      <w:shd w:val="clear" w:color="auto" w:fill="E1DFDD"/>
    </w:rPr>
  </w:style>
  <w:style w:type="paragraph" w:styleId="ListParagraph">
    <w:name w:val="List Paragraph"/>
    <w:basedOn w:val="Normal"/>
    <w:uiPriority w:val="34"/>
    <w:qFormat/>
    <w:rsid w:val="00AD5497"/>
    <w:pPr>
      <w:ind w:left="720"/>
    </w:pPr>
  </w:style>
  <w:style w:type="character" w:customStyle="1" w:styleId="FooterChar">
    <w:name w:val="Footer Char"/>
    <w:link w:val="Footer"/>
    <w:uiPriority w:val="99"/>
    <w:rsid w:val="00CA5A9E"/>
    <w:rPr>
      <w:rFonts w:ascii="Arial" w:hAnsi="Arial"/>
      <w:sz w:val="24"/>
      <w:szCs w:val="24"/>
      <w:lang w:eastAsia="en-US"/>
    </w:rPr>
  </w:style>
  <w:style w:type="character" w:customStyle="1" w:styleId="Heading3Char">
    <w:name w:val="Heading 3 Char"/>
    <w:link w:val="Heading3"/>
    <w:uiPriority w:val="9"/>
    <w:rsid w:val="005742CE"/>
    <w:rPr>
      <w:b/>
      <w:bCs/>
      <w:sz w:val="27"/>
      <w:szCs w:val="27"/>
    </w:rPr>
  </w:style>
  <w:style w:type="paragraph" w:styleId="NormalWeb">
    <w:name w:val="Normal (Web)"/>
    <w:basedOn w:val="Normal"/>
    <w:uiPriority w:val="99"/>
    <w:unhideWhenUsed/>
    <w:rsid w:val="005742CE"/>
    <w:pPr>
      <w:spacing w:before="100" w:beforeAutospacing="1" w:after="100" w:afterAutospacing="1"/>
    </w:pPr>
    <w:rPr>
      <w:rFonts w:ascii="Times New Roman" w:hAnsi="Times New Roman"/>
      <w:lang w:eastAsia="en-GB"/>
    </w:rPr>
  </w:style>
  <w:style w:type="character" w:customStyle="1" w:styleId="Heading1Char">
    <w:name w:val="Heading 1 Char"/>
    <w:link w:val="Heading1"/>
    <w:rsid w:val="003564DE"/>
    <w:rPr>
      <w:rFonts w:ascii="Calibri Light" w:eastAsia="Times New Roman" w:hAnsi="Calibri Light" w:cs="Times New Roman"/>
      <w:b/>
      <w:bCs/>
      <w:kern w:val="32"/>
      <w:sz w:val="32"/>
      <w:szCs w:val="32"/>
      <w:lang w:eastAsia="en-US"/>
    </w:rPr>
  </w:style>
  <w:style w:type="paragraph" w:customStyle="1" w:styleId="Normal1">
    <w:name w:val="Normal1"/>
    <w:rsid w:val="003564DE"/>
    <w:rPr>
      <w:sz w:val="24"/>
      <w:szCs w:val="24"/>
    </w:rPr>
  </w:style>
  <w:style w:type="paragraph" w:customStyle="1" w:styleId="Default">
    <w:name w:val="Default"/>
    <w:rsid w:val="00A12FAD"/>
    <w:pPr>
      <w:autoSpaceDE w:val="0"/>
      <w:autoSpaceDN w:val="0"/>
      <w:adjustRightInd w:val="0"/>
    </w:pPr>
    <w:rPr>
      <w:rFonts w:ascii="Arial" w:hAnsi="Arial" w:cs="Arial"/>
      <w:color w:val="000000"/>
      <w:sz w:val="24"/>
      <w:szCs w:val="24"/>
    </w:rPr>
  </w:style>
  <w:style w:type="character" w:styleId="CommentReference">
    <w:name w:val="annotation reference"/>
    <w:rsid w:val="00246B8A"/>
    <w:rPr>
      <w:sz w:val="16"/>
      <w:szCs w:val="16"/>
    </w:rPr>
  </w:style>
  <w:style w:type="paragraph" w:styleId="CommentText">
    <w:name w:val="annotation text"/>
    <w:basedOn w:val="Normal"/>
    <w:link w:val="CommentTextChar"/>
    <w:rsid w:val="00246B8A"/>
    <w:rPr>
      <w:sz w:val="20"/>
      <w:szCs w:val="20"/>
    </w:rPr>
  </w:style>
  <w:style w:type="character" w:customStyle="1" w:styleId="CommentTextChar">
    <w:name w:val="Comment Text Char"/>
    <w:link w:val="CommentText"/>
    <w:rsid w:val="00246B8A"/>
    <w:rPr>
      <w:rFonts w:ascii="Arial" w:hAnsi="Arial"/>
      <w:lang w:eastAsia="en-US"/>
    </w:rPr>
  </w:style>
  <w:style w:type="paragraph" w:styleId="CommentSubject">
    <w:name w:val="annotation subject"/>
    <w:basedOn w:val="CommentText"/>
    <w:next w:val="CommentText"/>
    <w:link w:val="CommentSubjectChar"/>
    <w:rsid w:val="00246B8A"/>
    <w:rPr>
      <w:b/>
      <w:bCs/>
    </w:rPr>
  </w:style>
  <w:style w:type="character" w:customStyle="1" w:styleId="CommentSubjectChar">
    <w:name w:val="Comment Subject Char"/>
    <w:link w:val="CommentSubject"/>
    <w:rsid w:val="00246B8A"/>
    <w:rPr>
      <w:rFonts w:ascii="Arial" w:hAnsi="Arial"/>
      <w:b/>
      <w:bCs/>
      <w:lang w:eastAsia="en-US"/>
    </w:rPr>
  </w:style>
  <w:style w:type="paragraph" w:styleId="Revision">
    <w:name w:val="Revision"/>
    <w:hidden/>
    <w:uiPriority w:val="99"/>
    <w:semiHidden/>
    <w:rsid w:val="004B30C8"/>
    <w:rPr>
      <w:rFonts w:ascii="Arial" w:hAnsi="Arial"/>
      <w:sz w:val="24"/>
      <w:szCs w:val="24"/>
      <w:lang w:eastAsia="en-US"/>
    </w:rPr>
  </w:style>
  <w:style w:type="character" w:customStyle="1" w:styleId="Heading2Char">
    <w:name w:val="Heading 2 Char"/>
    <w:basedOn w:val="DefaultParagraphFont"/>
    <w:link w:val="Heading2"/>
    <w:semiHidden/>
    <w:rsid w:val="00095575"/>
    <w:rPr>
      <w:rFonts w:asciiTheme="majorHAnsi" w:eastAsiaTheme="majorEastAsia" w:hAnsiTheme="majorHAnsi" w:cstheme="majorBidi"/>
      <w:color w:val="0F4761"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9626">
      <w:bodyDiv w:val="1"/>
      <w:marLeft w:val="0"/>
      <w:marRight w:val="0"/>
      <w:marTop w:val="0"/>
      <w:marBottom w:val="0"/>
      <w:divBdr>
        <w:top w:val="none" w:sz="0" w:space="0" w:color="auto"/>
        <w:left w:val="none" w:sz="0" w:space="0" w:color="auto"/>
        <w:bottom w:val="none" w:sz="0" w:space="0" w:color="auto"/>
        <w:right w:val="none" w:sz="0" w:space="0" w:color="auto"/>
      </w:divBdr>
    </w:div>
    <w:div w:id="16272099">
      <w:bodyDiv w:val="1"/>
      <w:marLeft w:val="0"/>
      <w:marRight w:val="0"/>
      <w:marTop w:val="0"/>
      <w:marBottom w:val="0"/>
      <w:divBdr>
        <w:top w:val="none" w:sz="0" w:space="0" w:color="auto"/>
        <w:left w:val="none" w:sz="0" w:space="0" w:color="auto"/>
        <w:bottom w:val="none" w:sz="0" w:space="0" w:color="auto"/>
        <w:right w:val="none" w:sz="0" w:space="0" w:color="auto"/>
      </w:divBdr>
    </w:div>
    <w:div w:id="26221755">
      <w:bodyDiv w:val="1"/>
      <w:marLeft w:val="0"/>
      <w:marRight w:val="0"/>
      <w:marTop w:val="0"/>
      <w:marBottom w:val="0"/>
      <w:divBdr>
        <w:top w:val="none" w:sz="0" w:space="0" w:color="auto"/>
        <w:left w:val="none" w:sz="0" w:space="0" w:color="auto"/>
        <w:bottom w:val="none" w:sz="0" w:space="0" w:color="auto"/>
        <w:right w:val="none" w:sz="0" w:space="0" w:color="auto"/>
      </w:divBdr>
    </w:div>
    <w:div w:id="50081037">
      <w:bodyDiv w:val="1"/>
      <w:marLeft w:val="0"/>
      <w:marRight w:val="0"/>
      <w:marTop w:val="0"/>
      <w:marBottom w:val="0"/>
      <w:divBdr>
        <w:top w:val="none" w:sz="0" w:space="0" w:color="auto"/>
        <w:left w:val="none" w:sz="0" w:space="0" w:color="auto"/>
        <w:bottom w:val="none" w:sz="0" w:space="0" w:color="auto"/>
        <w:right w:val="none" w:sz="0" w:space="0" w:color="auto"/>
      </w:divBdr>
    </w:div>
    <w:div w:id="155465443">
      <w:bodyDiv w:val="1"/>
      <w:marLeft w:val="0"/>
      <w:marRight w:val="0"/>
      <w:marTop w:val="0"/>
      <w:marBottom w:val="0"/>
      <w:divBdr>
        <w:top w:val="none" w:sz="0" w:space="0" w:color="auto"/>
        <w:left w:val="none" w:sz="0" w:space="0" w:color="auto"/>
        <w:bottom w:val="none" w:sz="0" w:space="0" w:color="auto"/>
        <w:right w:val="none" w:sz="0" w:space="0" w:color="auto"/>
      </w:divBdr>
    </w:div>
    <w:div w:id="175192160">
      <w:bodyDiv w:val="1"/>
      <w:marLeft w:val="0"/>
      <w:marRight w:val="0"/>
      <w:marTop w:val="0"/>
      <w:marBottom w:val="0"/>
      <w:divBdr>
        <w:top w:val="none" w:sz="0" w:space="0" w:color="auto"/>
        <w:left w:val="none" w:sz="0" w:space="0" w:color="auto"/>
        <w:bottom w:val="none" w:sz="0" w:space="0" w:color="auto"/>
        <w:right w:val="none" w:sz="0" w:space="0" w:color="auto"/>
      </w:divBdr>
    </w:div>
    <w:div w:id="183979559">
      <w:bodyDiv w:val="1"/>
      <w:marLeft w:val="0"/>
      <w:marRight w:val="0"/>
      <w:marTop w:val="0"/>
      <w:marBottom w:val="0"/>
      <w:divBdr>
        <w:top w:val="none" w:sz="0" w:space="0" w:color="auto"/>
        <w:left w:val="none" w:sz="0" w:space="0" w:color="auto"/>
        <w:bottom w:val="none" w:sz="0" w:space="0" w:color="auto"/>
        <w:right w:val="none" w:sz="0" w:space="0" w:color="auto"/>
      </w:divBdr>
      <w:divsChild>
        <w:div w:id="240675427">
          <w:marLeft w:val="0"/>
          <w:marRight w:val="0"/>
          <w:marTop w:val="0"/>
          <w:marBottom w:val="0"/>
          <w:divBdr>
            <w:top w:val="none" w:sz="0" w:space="0" w:color="auto"/>
            <w:left w:val="none" w:sz="0" w:space="0" w:color="auto"/>
            <w:bottom w:val="none" w:sz="0" w:space="0" w:color="auto"/>
            <w:right w:val="none" w:sz="0" w:space="0" w:color="auto"/>
          </w:divBdr>
          <w:divsChild>
            <w:div w:id="132842863">
              <w:marLeft w:val="0"/>
              <w:marRight w:val="0"/>
              <w:marTop w:val="0"/>
              <w:marBottom w:val="0"/>
              <w:divBdr>
                <w:top w:val="none" w:sz="0" w:space="0" w:color="auto"/>
                <w:left w:val="none" w:sz="0" w:space="0" w:color="auto"/>
                <w:bottom w:val="none" w:sz="0" w:space="0" w:color="auto"/>
                <w:right w:val="none" w:sz="0" w:space="0" w:color="auto"/>
              </w:divBdr>
              <w:divsChild>
                <w:div w:id="1394427168">
                  <w:marLeft w:val="0"/>
                  <w:marRight w:val="0"/>
                  <w:marTop w:val="0"/>
                  <w:marBottom w:val="0"/>
                  <w:divBdr>
                    <w:top w:val="none" w:sz="0" w:space="0" w:color="auto"/>
                    <w:left w:val="none" w:sz="0" w:space="0" w:color="auto"/>
                    <w:bottom w:val="none" w:sz="0" w:space="0" w:color="auto"/>
                    <w:right w:val="none" w:sz="0" w:space="0" w:color="auto"/>
                  </w:divBdr>
                  <w:divsChild>
                    <w:div w:id="644547600">
                      <w:marLeft w:val="0"/>
                      <w:marRight w:val="0"/>
                      <w:marTop w:val="0"/>
                      <w:marBottom w:val="0"/>
                      <w:divBdr>
                        <w:top w:val="none" w:sz="0" w:space="0" w:color="auto"/>
                        <w:left w:val="none" w:sz="0" w:space="0" w:color="auto"/>
                        <w:bottom w:val="none" w:sz="0" w:space="0" w:color="auto"/>
                        <w:right w:val="none" w:sz="0" w:space="0" w:color="auto"/>
                      </w:divBdr>
                      <w:divsChild>
                        <w:div w:id="1876918095">
                          <w:marLeft w:val="0"/>
                          <w:marRight w:val="0"/>
                          <w:marTop w:val="0"/>
                          <w:marBottom w:val="0"/>
                          <w:divBdr>
                            <w:top w:val="none" w:sz="0" w:space="0" w:color="auto"/>
                            <w:left w:val="none" w:sz="0" w:space="0" w:color="auto"/>
                            <w:bottom w:val="none" w:sz="0" w:space="0" w:color="auto"/>
                            <w:right w:val="none" w:sz="0" w:space="0" w:color="auto"/>
                          </w:divBdr>
                          <w:divsChild>
                            <w:div w:id="43137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2088126">
      <w:bodyDiv w:val="1"/>
      <w:marLeft w:val="0"/>
      <w:marRight w:val="0"/>
      <w:marTop w:val="0"/>
      <w:marBottom w:val="0"/>
      <w:divBdr>
        <w:top w:val="none" w:sz="0" w:space="0" w:color="auto"/>
        <w:left w:val="none" w:sz="0" w:space="0" w:color="auto"/>
        <w:bottom w:val="none" w:sz="0" w:space="0" w:color="auto"/>
        <w:right w:val="none" w:sz="0" w:space="0" w:color="auto"/>
      </w:divBdr>
      <w:divsChild>
        <w:div w:id="412168739">
          <w:marLeft w:val="0"/>
          <w:marRight w:val="0"/>
          <w:marTop w:val="0"/>
          <w:marBottom w:val="0"/>
          <w:divBdr>
            <w:top w:val="none" w:sz="0" w:space="0" w:color="auto"/>
            <w:left w:val="none" w:sz="0" w:space="0" w:color="auto"/>
            <w:bottom w:val="none" w:sz="0" w:space="0" w:color="auto"/>
            <w:right w:val="none" w:sz="0" w:space="0" w:color="auto"/>
          </w:divBdr>
          <w:divsChild>
            <w:div w:id="1115715126">
              <w:marLeft w:val="0"/>
              <w:marRight w:val="0"/>
              <w:marTop w:val="0"/>
              <w:marBottom w:val="0"/>
              <w:divBdr>
                <w:top w:val="none" w:sz="0" w:space="0" w:color="auto"/>
                <w:left w:val="none" w:sz="0" w:space="0" w:color="auto"/>
                <w:bottom w:val="none" w:sz="0" w:space="0" w:color="auto"/>
                <w:right w:val="none" w:sz="0" w:space="0" w:color="auto"/>
              </w:divBdr>
              <w:divsChild>
                <w:div w:id="103966569">
                  <w:marLeft w:val="0"/>
                  <w:marRight w:val="0"/>
                  <w:marTop w:val="0"/>
                  <w:marBottom w:val="0"/>
                  <w:divBdr>
                    <w:top w:val="none" w:sz="0" w:space="0" w:color="auto"/>
                    <w:left w:val="none" w:sz="0" w:space="0" w:color="auto"/>
                    <w:bottom w:val="none" w:sz="0" w:space="0" w:color="auto"/>
                    <w:right w:val="none" w:sz="0" w:space="0" w:color="auto"/>
                  </w:divBdr>
                  <w:divsChild>
                    <w:div w:id="1296372027">
                      <w:marLeft w:val="0"/>
                      <w:marRight w:val="0"/>
                      <w:marTop w:val="0"/>
                      <w:marBottom w:val="0"/>
                      <w:divBdr>
                        <w:top w:val="none" w:sz="0" w:space="0" w:color="auto"/>
                        <w:left w:val="none" w:sz="0" w:space="0" w:color="auto"/>
                        <w:bottom w:val="none" w:sz="0" w:space="0" w:color="auto"/>
                        <w:right w:val="none" w:sz="0" w:space="0" w:color="auto"/>
                      </w:divBdr>
                      <w:divsChild>
                        <w:div w:id="1990010881">
                          <w:marLeft w:val="0"/>
                          <w:marRight w:val="0"/>
                          <w:marTop w:val="0"/>
                          <w:marBottom w:val="0"/>
                          <w:divBdr>
                            <w:top w:val="none" w:sz="0" w:space="0" w:color="auto"/>
                            <w:left w:val="none" w:sz="0" w:space="0" w:color="auto"/>
                            <w:bottom w:val="none" w:sz="0" w:space="0" w:color="auto"/>
                            <w:right w:val="none" w:sz="0" w:space="0" w:color="auto"/>
                          </w:divBdr>
                          <w:divsChild>
                            <w:div w:id="60171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0213317">
      <w:bodyDiv w:val="1"/>
      <w:marLeft w:val="0"/>
      <w:marRight w:val="0"/>
      <w:marTop w:val="0"/>
      <w:marBottom w:val="0"/>
      <w:divBdr>
        <w:top w:val="none" w:sz="0" w:space="0" w:color="auto"/>
        <w:left w:val="none" w:sz="0" w:space="0" w:color="auto"/>
        <w:bottom w:val="none" w:sz="0" w:space="0" w:color="auto"/>
        <w:right w:val="none" w:sz="0" w:space="0" w:color="auto"/>
      </w:divBdr>
    </w:div>
    <w:div w:id="360519378">
      <w:bodyDiv w:val="1"/>
      <w:marLeft w:val="0"/>
      <w:marRight w:val="0"/>
      <w:marTop w:val="0"/>
      <w:marBottom w:val="0"/>
      <w:divBdr>
        <w:top w:val="none" w:sz="0" w:space="0" w:color="auto"/>
        <w:left w:val="none" w:sz="0" w:space="0" w:color="auto"/>
        <w:bottom w:val="none" w:sz="0" w:space="0" w:color="auto"/>
        <w:right w:val="none" w:sz="0" w:space="0" w:color="auto"/>
      </w:divBdr>
    </w:div>
    <w:div w:id="415126741">
      <w:bodyDiv w:val="1"/>
      <w:marLeft w:val="0"/>
      <w:marRight w:val="0"/>
      <w:marTop w:val="0"/>
      <w:marBottom w:val="0"/>
      <w:divBdr>
        <w:top w:val="none" w:sz="0" w:space="0" w:color="auto"/>
        <w:left w:val="none" w:sz="0" w:space="0" w:color="auto"/>
        <w:bottom w:val="none" w:sz="0" w:space="0" w:color="auto"/>
        <w:right w:val="none" w:sz="0" w:space="0" w:color="auto"/>
      </w:divBdr>
    </w:div>
    <w:div w:id="459349676">
      <w:bodyDiv w:val="1"/>
      <w:marLeft w:val="0"/>
      <w:marRight w:val="0"/>
      <w:marTop w:val="0"/>
      <w:marBottom w:val="0"/>
      <w:divBdr>
        <w:top w:val="none" w:sz="0" w:space="0" w:color="auto"/>
        <w:left w:val="none" w:sz="0" w:space="0" w:color="auto"/>
        <w:bottom w:val="none" w:sz="0" w:space="0" w:color="auto"/>
        <w:right w:val="none" w:sz="0" w:space="0" w:color="auto"/>
      </w:divBdr>
    </w:div>
    <w:div w:id="558827870">
      <w:bodyDiv w:val="1"/>
      <w:marLeft w:val="0"/>
      <w:marRight w:val="0"/>
      <w:marTop w:val="0"/>
      <w:marBottom w:val="0"/>
      <w:divBdr>
        <w:top w:val="none" w:sz="0" w:space="0" w:color="auto"/>
        <w:left w:val="none" w:sz="0" w:space="0" w:color="auto"/>
        <w:bottom w:val="none" w:sz="0" w:space="0" w:color="auto"/>
        <w:right w:val="none" w:sz="0" w:space="0" w:color="auto"/>
      </w:divBdr>
    </w:div>
    <w:div w:id="691616120">
      <w:bodyDiv w:val="1"/>
      <w:marLeft w:val="0"/>
      <w:marRight w:val="0"/>
      <w:marTop w:val="0"/>
      <w:marBottom w:val="0"/>
      <w:divBdr>
        <w:top w:val="none" w:sz="0" w:space="0" w:color="auto"/>
        <w:left w:val="none" w:sz="0" w:space="0" w:color="auto"/>
        <w:bottom w:val="none" w:sz="0" w:space="0" w:color="auto"/>
        <w:right w:val="none" w:sz="0" w:space="0" w:color="auto"/>
      </w:divBdr>
    </w:div>
    <w:div w:id="698702405">
      <w:bodyDiv w:val="1"/>
      <w:marLeft w:val="0"/>
      <w:marRight w:val="0"/>
      <w:marTop w:val="0"/>
      <w:marBottom w:val="0"/>
      <w:divBdr>
        <w:top w:val="none" w:sz="0" w:space="0" w:color="auto"/>
        <w:left w:val="none" w:sz="0" w:space="0" w:color="auto"/>
        <w:bottom w:val="none" w:sz="0" w:space="0" w:color="auto"/>
        <w:right w:val="none" w:sz="0" w:space="0" w:color="auto"/>
      </w:divBdr>
    </w:div>
    <w:div w:id="708602658">
      <w:bodyDiv w:val="1"/>
      <w:marLeft w:val="0"/>
      <w:marRight w:val="0"/>
      <w:marTop w:val="0"/>
      <w:marBottom w:val="0"/>
      <w:divBdr>
        <w:top w:val="none" w:sz="0" w:space="0" w:color="auto"/>
        <w:left w:val="none" w:sz="0" w:space="0" w:color="auto"/>
        <w:bottom w:val="none" w:sz="0" w:space="0" w:color="auto"/>
        <w:right w:val="none" w:sz="0" w:space="0" w:color="auto"/>
      </w:divBdr>
    </w:div>
    <w:div w:id="744490821">
      <w:bodyDiv w:val="1"/>
      <w:marLeft w:val="0"/>
      <w:marRight w:val="0"/>
      <w:marTop w:val="0"/>
      <w:marBottom w:val="0"/>
      <w:divBdr>
        <w:top w:val="none" w:sz="0" w:space="0" w:color="auto"/>
        <w:left w:val="none" w:sz="0" w:space="0" w:color="auto"/>
        <w:bottom w:val="none" w:sz="0" w:space="0" w:color="auto"/>
        <w:right w:val="none" w:sz="0" w:space="0" w:color="auto"/>
      </w:divBdr>
    </w:div>
    <w:div w:id="769937162">
      <w:bodyDiv w:val="1"/>
      <w:marLeft w:val="0"/>
      <w:marRight w:val="0"/>
      <w:marTop w:val="0"/>
      <w:marBottom w:val="0"/>
      <w:divBdr>
        <w:top w:val="none" w:sz="0" w:space="0" w:color="auto"/>
        <w:left w:val="none" w:sz="0" w:space="0" w:color="auto"/>
        <w:bottom w:val="none" w:sz="0" w:space="0" w:color="auto"/>
        <w:right w:val="none" w:sz="0" w:space="0" w:color="auto"/>
      </w:divBdr>
    </w:div>
    <w:div w:id="771514410">
      <w:bodyDiv w:val="1"/>
      <w:marLeft w:val="0"/>
      <w:marRight w:val="0"/>
      <w:marTop w:val="0"/>
      <w:marBottom w:val="0"/>
      <w:divBdr>
        <w:top w:val="none" w:sz="0" w:space="0" w:color="auto"/>
        <w:left w:val="none" w:sz="0" w:space="0" w:color="auto"/>
        <w:bottom w:val="none" w:sz="0" w:space="0" w:color="auto"/>
        <w:right w:val="none" w:sz="0" w:space="0" w:color="auto"/>
      </w:divBdr>
    </w:div>
    <w:div w:id="814494972">
      <w:bodyDiv w:val="1"/>
      <w:marLeft w:val="0"/>
      <w:marRight w:val="0"/>
      <w:marTop w:val="0"/>
      <w:marBottom w:val="0"/>
      <w:divBdr>
        <w:top w:val="none" w:sz="0" w:space="0" w:color="auto"/>
        <w:left w:val="none" w:sz="0" w:space="0" w:color="auto"/>
        <w:bottom w:val="none" w:sz="0" w:space="0" w:color="auto"/>
        <w:right w:val="none" w:sz="0" w:space="0" w:color="auto"/>
      </w:divBdr>
    </w:div>
    <w:div w:id="894311627">
      <w:bodyDiv w:val="1"/>
      <w:marLeft w:val="0"/>
      <w:marRight w:val="0"/>
      <w:marTop w:val="0"/>
      <w:marBottom w:val="0"/>
      <w:divBdr>
        <w:top w:val="none" w:sz="0" w:space="0" w:color="auto"/>
        <w:left w:val="none" w:sz="0" w:space="0" w:color="auto"/>
        <w:bottom w:val="none" w:sz="0" w:space="0" w:color="auto"/>
        <w:right w:val="none" w:sz="0" w:space="0" w:color="auto"/>
      </w:divBdr>
    </w:div>
    <w:div w:id="908001966">
      <w:bodyDiv w:val="1"/>
      <w:marLeft w:val="0"/>
      <w:marRight w:val="0"/>
      <w:marTop w:val="0"/>
      <w:marBottom w:val="0"/>
      <w:divBdr>
        <w:top w:val="none" w:sz="0" w:space="0" w:color="auto"/>
        <w:left w:val="none" w:sz="0" w:space="0" w:color="auto"/>
        <w:bottom w:val="none" w:sz="0" w:space="0" w:color="auto"/>
        <w:right w:val="none" w:sz="0" w:space="0" w:color="auto"/>
      </w:divBdr>
    </w:div>
    <w:div w:id="969557332">
      <w:bodyDiv w:val="1"/>
      <w:marLeft w:val="0"/>
      <w:marRight w:val="0"/>
      <w:marTop w:val="0"/>
      <w:marBottom w:val="0"/>
      <w:divBdr>
        <w:top w:val="none" w:sz="0" w:space="0" w:color="auto"/>
        <w:left w:val="none" w:sz="0" w:space="0" w:color="auto"/>
        <w:bottom w:val="none" w:sz="0" w:space="0" w:color="auto"/>
        <w:right w:val="none" w:sz="0" w:space="0" w:color="auto"/>
      </w:divBdr>
    </w:div>
    <w:div w:id="969943451">
      <w:bodyDiv w:val="1"/>
      <w:marLeft w:val="0"/>
      <w:marRight w:val="0"/>
      <w:marTop w:val="0"/>
      <w:marBottom w:val="0"/>
      <w:divBdr>
        <w:top w:val="none" w:sz="0" w:space="0" w:color="auto"/>
        <w:left w:val="none" w:sz="0" w:space="0" w:color="auto"/>
        <w:bottom w:val="none" w:sz="0" w:space="0" w:color="auto"/>
        <w:right w:val="none" w:sz="0" w:space="0" w:color="auto"/>
      </w:divBdr>
    </w:div>
    <w:div w:id="981226951">
      <w:bodyDiv w:val="1"/>
      <w:marLeft w:val="0"/>
      <w:marRight w:val="0"/>
      <w:marTop w:val="0"/>
      <w:marBottom w:val="0"/>
      <w:divBdr>
        <w:top w:val="none" w:sz="0" w:space="0" w:color="auto"/>
        <w:left w:val="none" w:sz="0" w:space="0" w:color="auto"/>
        <w:bottom w:val="none" w:sz="0" w:space="0" w:color="auto"/>
        <w:right w:val="none" w:sz="0" w:space="0" w:color="auto"/>
      </w:divBdr>
    </w:div>
    <w:div w:id="988241480">
      <w:bodyDiv w:val="1"/>
      <w:marLeft w:val="0"/>
      <w:marRight w:val="0"/>
      <w:marTop w:val="0"/>
      <w:marBottom w:val="0"/>
      <w:divBdr>
        <w:top w:val="none" w:sz="0" w:space="0" w:color="auto"/>
        <w:left w:val="none" w:sz="0" w:space="0" w:color="auto"/>
        <w:bottom w:val="none" w:sz="0" w:space="0" w:color="auto"/>
        <w:right w:val="none" w:sz="0" w:space="0" w:color="auto"/>
      </w:divBdr>
    </w:div>
    <w:div w:id="1033849814">
      <w:bodyDiv w:val="1"/>
      <w:marLeft w:val="0"/>
      <w:marRight w:val="0"/>
      <w:marTop w:val="0"/>
      <w:marBottom w:val="0"/>
      <w:divBdr>
        <w:top w:val="none" w:sz="0" w:space="0" w:color="auto"/>
        <w:left w:val="none" w:sz="0" w:space="0" w:color="auto"/>
        <w:bottom w:val="none" w:sz="0" w:space="0" w:color="auto"/>
        <w:right w:val="none" w:sz="0" w:space="0" w:color="auto"/>
      </w:divBdr>
    </w:div>
    <w:div w:id="1098870340">
      <w:bodyDiv w:val="1"/>
      <w:marLeft w:val="0"/>
      <w:marRight w:val="0"/>
      <w:marTop w:val="0"/>
      <w:marBottom w:val="0"/>
      <w:divBdr>
        <w:top w:val="none" w:sz="0" w:space="0" w:color="auto"/>
        <w:left w:val="none" w:sz="0" w:space="0" w:color="auto"/>
        <w:bottom w:val="none" w:sz="0" w:space="0" w:color="auto"/>
        <w:right w:val="none" w:sz="0" w:space="0" w:color="auto"/>
      </w:divBdr>
    </w:div>
    <w:div w:id="1113210186">
      <w:bodyDiv w:val="1"/>
      <w:marLeft w:val="0"/>
      <w:marRight w:val="0"/>
      <w:marTop w:val="0"/>
      <w:marBottom w:val="0"/>
      <w:divBdr>
        <w:top w:val="none" w:sz="0" w:space="0" w:color="auto"/>
        <w:left w:val="none" w:sz="0" w:space="0" w:color="auto"/>
        <w:bottom w:val="none" w:sz="0" w:space="0" w:color="auto"/>
        <w:right w:val="none" w:sz="0" w:space="0" w:color="auto"/>
      </w:divBdr>
    </w:div>
    <w:div w:id="1135677763">
      <w:bodyDiv w:val="1"/>
      <w:marLeft w:val="0"/>
      <w:marRight w:val="0"/>
      <w:marTop w:val="0"/>
      <w:marBottom w:val="0"/>
      <w:divBdr>
        <w:top w:val="none" w:sz="0" w:space="0" w:color="auto"/>
        <w:left w:val="none" w:sz="0" w:space="0" w:color="auto"/>
        <w:bottom w:val="none" w:sz="0" w:space="0" w:color="auto"/>
        <w:right w:val="none" w:sz="0" w:space="0" w:color="auto"/>
      </w:divBdr>
    </w:div>
    <w:div w:id="1139960131">
      <w:bodyDiv w:val="1"/>
      <w:marLeft w:val="0"/>
      <w:marRight w:val="0"/>
      <w:marTop w:val="0"/>
      <w:marBottom w:val="0"/>
      <w:divBdr>
        <w:top w:val="none" w:sz="0" w:space="0" w:color="auto"/>
        <w:left w:val="none" w:sz="0" w:space="0" w:color="auto"/>
        <w:bottom w:val="none" w:sz="0" w:space="0" w:color="auto"/>
        <w:right w:val="none" w:sz="0" w:space="0" w:color="auto"/>
      </w:divBdr>
    </w:div>
    <w:div w:id="1308049204">
      <w:bodyDiv w:val="1"/>
      <w:marLeft w:val="0"/>
      <w:marRight w:val="0"/>
      <w:marTop w:val="0"/>
      <w:marBottom w:val="0"/>
      <w:divBdr>
        <w:top w:val="none" w:sz="0" w:space="0" w:color="auto"/>
        <w:left w:val="none" w:sz="0" w:space="0" w:color="auto"/>
        <w:bottom w:val="none" w:sz="0" w:space="0" w:color="auto"/>
        <w:right w:val="none" w:sz="0" w:space="0" w:color="auto"/>
      </w:divBdr>
    </w:div>
    <w:div w:id="1316760841">
      <w:bodyDiv w:val="1"/>
      <w:marLeft w:val="0"/>
      <w:marRight w:val="0"/>
      <w:marTop w:val="0"/>
      <w:marBottom w:val="0"/>
      <w:divBdr>
        <w:top w:val="none" w:sz="0" w:space="0" w:color="auto"/>
        <w:left w:val="none" w:sz="0" w:space="0" w:color="auto"/>
        <w:bottom w:val="none" w:sz="0" w:space="0" w:color="auto"/>
        <w:right w:val="none" w:sz="0" w:space="0" w:color="auto"/>
      </w:divBdr>
    </w:div>
    <w:div w:id="1391609205">
      <w:bodyDiv w:val="1"/>
      <w:marLeft w:val="0"/>
      <w:marRight w:val="0"/>
      <w:marTop w:val="0"/>
      <w:marBottom w:val="0"/>
      <w:divBdr>
        <w:top w:val="none" w:sz="0" w:space="0" w:color="auto"/>
        <w:left w:val="none" w:sz="0" w:space="0" w:color="auto"/>
        <w:bottom w:val="none" w:sz="0" w:space="0" w:color="auto"/>
        <w:right w:val="none" w:sz="0" w:space="0" w:color="auto"/>
      </w:divBdr>
    </w:div>
    <w:div w:id="1399282081">
      <w:bodyDiv w:val="1"/>
      <w:marLeft w:val="0"/>
      <w:marRight w:val="0"/>
      <w:marTop w:val="0"/>
      <w:marBottom w:val="0"/>
      <w:divBdr>
        <w:top w:val="none" w:sz="0" w:space="0" w:color="auto"/>
        <w:left w:val="none" w:sz="0" w:space="0" w:color="auto"/>
        <w:bottom w:val="none" w:sz="0" w:space="0" w:color="auto"/>
        <w:right w:val="none" w:sz="0" w:space="0" w:color="auto"/>
      </w:divBdr>
    </w:div>
    <w:div w:id="1400595445">
      <w:bodyDiv w:val="1"/>
      <w:marLeft w:val="0"/>
      <w:marRight w:val="0"/>
      <w:marTop w:val="0"/>
      <w:marBottom w:val="0"/>
      <w:divBdr>
        <w:top w:val="none" w:sz="0" w:space="0" w:color="auto"/>
        <w:left w:val="none" w:sz="0" w:space="0" w:color="auto"/>
        <w:bottom w:val="none" w:sz="0" w:space="0" w:color="auto"/>
        <w:right w:val="none" w:sz="0" w:space="0" w:color="auto"/>
      </w:divBdr>
    </w:div>
    <w:div w:id="1420175912">
      <w:bodyDiv w:val="1"/>
      <w:marLeft w:val="0"/>
      <w:marRight w:val="0"/>
      <w:marTop w:val="0"/>
      <w:marBottom w:val="0"/>
      <w:divBdr>
        <w:top w:val="none" w:sz="0" w:space="0" w:color="auto"/>
        <w:left w:val="none" w:sz="0" w:space="0" w:color="auto"/>
        <w:bottom w:val="none" w:sz="0" w:space="0" w:color="auto"/>
        <w:right w:val="none" w:sz="0" w:space="0" w:color="auto"/>
      </w:divBdr>
    </w:div>
    <w:div w:id="1428504839">
      <w:bodyDiv w:val="1"/>
      <w:marLeft w:val="0"/>
      <w:marRight w:val="0"/>
      <w:marTop w:val="0"/>
      <w:marBottom w:val="0"/>
      <w:divBdr>
        <w:top w:val="none" w:sz="0" w:space="0" w:color="auto"/>
        <w:left w:val="none" w:sz="0" w:space="0" w:color="auto"/>
        <w:bottom w:val="none" w:sz="0" w:space="0" w:color="auto"/>
        <w:right w:val="none" w:sz="0" w:space="0" w:color="auto"/>
      </w:divBdr>
    </w:div>
    <w:div w:id="1454132278">
      <w:bodyDiv w:val="1"/>
      <w:marLeft w:val="0"/>
      <w:marRight w:val="0"/>
      <w:marTop w:val="0"/>
      <w:marBottom w:val="0"/>
      <w:divBdr>
        <w:top w:val="none" w:sz="0" w:space="0" w:color="auto"/>
        <w:left w:val="none" w:sz="0" w:space="0" w:color="auto"/>
        <w:bottom w:val="none" w:sz="0" w:space="0" w:color="auto"/>
        <w:right w:val="none" w:sz="0" w:space="0" w:color="auto"/>
      </w:divBdr>
    </w:div>
    <w:div w:id="1479420234">
      <w:bodyDiv w:val="1"/>
      <w:marLeft w:val="0"/>
      <w:marRight w:val="0"/>
      <w:marTop w:val="0"/>
      <w:marBottom w:val="0"/>
      <w:divBdr>
        <w:top w:val="none" w:sz="0" w:space="0" w:color="auto"/>
        <w:left w:val="none" w:sz="0" w:space="0" w:color="auto"/>
        <w:bottom w:val="none" w:sz="0" w:space="0" w:color="auto"/>
        <w:right w:val="none" w:sz="0" w:space="0" w:color="auto"/>
      </w:divBdr>
    </w:div>
    <w:div w:id="1575355193">
      <w:bodyDiv w:val="1"/>
      <w:marLeft w:val="0"/>
      <w:marRight w:val="0"/>
      <w:marTop w:val="0"/>
      <w:marBottom w:val="0"/>
      <w:divBdr>
        <w:top w:val="none" w:sz="0" w:space="0" w:color="auto"/>
        <w:left w:val="none" w:sz="0" w:space="0" w:color="auto"/>
        <w:bottom w:val="none" w:sz="0" w:space="0" w:color="auto"/>
        <w:right w:val="none" w:sz="0" w:space="0" w:color="auto"/>
      </w:divBdr>
    </w:div>
    <w:div w:id="1581787550">
      <w:bodyDiv w:val="1"/>
      <w:marLeft w:val="0"/>
      <w:marRight w:val="0"/>
      <w:marTop w:val="0"/>
      <w:marBottom w:val="0"/>
      <w:divBdr>
        <w:top w:val="none" w:sz="0" w:space="0" w:color="auto"/>
        <w:left w:val="none" w:sz="0" w:space="0" w:color="auto"/>
        <w:bottom w:val="none" w:sz="0" w:space="0" w:color="auto"/>
        <w:right w:val="none" w:sz="0" w:space="0" w:color="auto"/>
      </w:divBdr>
    </w:div>
    <w:div w:id="1600336918">
      <w:bodyDiv w:val="1"/>
      <w:marLeft w:val="0"/>
      <w:marRight w:val="0"/>
      <w:marTop w:val="0"/>
      <w:marBottom w:val="0"/>
      <w:divBdr>
        <w:top w:val="none" w:sz="0" w:space="0" w:color="auto"/>
        <w:left w:val="none" w:sz="0" w:space="0" w:color="auto"/>
        <w:bottom w:val="none" w:sz="0" w:space="0" w:color="auto"/>
        <w:right w:val="none" w:sz="0" w:space="0" w:color="auto"/>
      </w:divBdr>
    </w:div>
    <w:div w:id="1623262730">
      <w:bodyDiv w:val="1"/>
      <w:marLeft w:val="0"/>
      <w:marRight w:val="0"/>
      <w:marTop w:val="0"/>
      <w:marBottom w:val="0"/>
      <w:divBdr>
        <w:top w:val="none" w:sz="0" w:space="0" w:color="auto"/>
        <w:left w:val="none" w:sz="0" w:space="0" w:color="auto"/>
        <w:bottom w:val="none" w:sz="0" w:space="0" w:color="auto"/>
        <w:right w:val="none" w:sz="0" w:space="0" w:color="auto"/>
      </w:divBdr>
    </w:div>
    <w:div w:id="1686594675">
      <w:bodyDiv w:val="1"/>
      <w:marLeft w:val="0"/>
      <w:marRight w:val="0"/>
      <w:marTop w:val="0"/>
      <w:marBottom w:val="0"/>
      <w:divBdr>
        <w:top w:val="none" w:sz="0" w:space="0" w:color="auto"/>
        <w:left w:val="none" w:sz="0" w:space="0" w:color="auto"/>
        <w:bottom w:val="none" w:sz="0" w:space="0" w:color="auto"/>
        <w:right w:val="none" w:sz="0" w:space="0" w:color="auto"/>
      </w:divBdr>
    </w:div>
    <w:div w:id="1803112069">
      <w:bodyDiv w:val="1"/>
      <w:marLeft w:val="0"/>
      <w:marRight w:val="0"/>
      <w:marTop w:val="0"/>
      <w:marBottom w:val="0"/>
      <w:divBdr>
        <w:top w:val="none" w:sz="0" w:space="0" w:color="auto"/>
        <w:left w:val="none" w:sz="0" w:space="0" w:color="auto"/>
        <w:bottom w:val="none" w:sz="0" w:space="0" w:color="auto"/>
        <w:right w:val="none" w:sz="0" w:space="0" w:color="auto"/>
      </w:divBdr>
    </w:div>
    <w:div w:id="1832792967">
      <w:bodyDiv w:val="1"/>
      <w:marLeft w:val="0"/>
      <w:marRight w:val="0"/>
      <w:marTop w:val="0"/>
      <w:marBottom w:val="0"/>
      <w:divBdr>
        <w:top w:val="none" w:sz="0" w:space="0" w:color="auto"/>
        <w:left w:val="none" w:sz="0" w:space="0" w:color="auto"/>
        <w:bottom w:val="none" w:sz="0" w:space="0" w:color="auto"/>
        <w:right w:val="none" w:sz="0" w:space="0" w:color="auto"/>
      </w:divBdr>
    </w:div>
    <w:div w:id="1886209299">
      <w:bodyDiv w:val="1"/>
      <w:marLeft w:val="0"/>
      <w:marRight w:val="0"/>
      <w:marTop w:val="0"/>
      <w:marBottom w:val="0"/>
      <w:divBdr>
        <w:top w:val="none" w:sz="0" w:space="0" w:color="auto"/>
        <w:left w:val="none" w:sz="0" w:space="0" w:color="auto"/>
        <w:bottom w:val="none" w:sz="0" w:space="0" w:color="auto"/>
        <w:right w:val="none" w:sz="0" w:space="0" w:color="auto"/>
      </w:divBdr>
    </w:div>
    <w:div w:id="1920403433">
      <w:bodyDiv w:val="1"/>
      <w:marLeft w:val="0"/>
      <w:marRight w:val="0"/>
      <w:marTop w:val="0"/>
      <w:marBottom w:val="0"/>
      <w:divBdr>
        <w:top w:val="none" w:sz="0" w:space="0" w:color="auto"/>
        <w:left w:val="none" w:sz="0" w:space="0" w:color="auto"/>
        <w:bottom w:val="none" w:sz="0" w:space="0" w:color="auto"/>
        <w:right w:val="none" w:sz="0" w:space="0" w:color="auto"/>
      </w:divBdr>
    </w:div>
    <w:div w:id="1939173799">
      <w:bodyDiv w:val="1"/>
      <w:marLeft w:val="0"/>
      <w:marRight w:val="0"/>
      <w:marTop w:val="0"/>
      <w:marBottom w:val="0"/>
      <w:divBdr>
        <w:top w:val="none" w:sz="0" w:space="0" w:color="auto"/>
        <w:left w:val="none" w:sz="0" w:space="0" w:color="auto"/>
        <w:bottom w:val="none" w:sz="0" w:space="0" w:color="auto"/>
        <w:right w:val="none" w:sz="0" w:space="0" w:color="auto"/>
      </w:divBdr>
    </w:div>
    <w:div w:id="1958871765">
      <w:bodyDiv w:val="1"/>
      <w:marLeft w:val="0"/>
      <w:marRight w:val="0"/>
      <w:marTop w:val="0"/>
      <w:marBottom w:val="0"/>
      <w:divBdr>
        <w:top w:val="none" w:sz="0" w:space="0" w:color="auto"/>
        <w:left w:val="none" w:sz="0" w:space="0" w:color="auto"/>
        <w:bottom w:val="none" w:sz="0" w:space="0" w:color="auto"/>
        <w:right w:val="none" w:sz="0" w:space="0" w:color="auto"/>
      </w:divBdr>
    </w:div>
    <w:div w:id="2030989149">
      <w:bodyDiv w:val="1"/>
      <w:marLeft w:val="0"/>
      <w:marRight w:val="0"/>
      <w:marTop w:val="0"/>
      <w:marBottom w:val="0"/>
      <w:divBdr>
        <w:top w:val="none" w:sz="0" w:space="0" w:color="auto"/>
        <w:left w:val="none" w:sz="0" w:space="0" w:color="auto"/>
        <w:bottom w:val="none" w:sz="0" w:space="0" w:color="auto"/>
        <w:right w:val="none" w:sz="0" w:space="0" w:color="auto"/>
      </w:divBdr>
    </w:div>
    <w:div w:id="2075397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Davis\Application%20Data\Microsoft\Templates\JD%20LBH%20A4%20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864DA8EBB7B7640BB9C6DEE472B4418" ma:contentTypeVersion="10" ma:contentTypeDescription="Create a new document." ma:contentTypeScope="" ma:versionID="6c4937f76c0520c4d9eac424df63950e">
  <xsd:schema xmlns:xsd="http://www.w3.org/2001/XMLSchema" xmlns:xs="http://www.w3.org/2001/XMLSchema" xmlns:p="http://schemas.microsoft.com/office/2006/metadata/properties" xmlns:ns3="e3a966b9-8ac4-44af-91d9-1a37cc49fba2" xmlns:ns4="96f74624-60fe-422c-8485-bcefc9ce3837" targetNamespace="http://schemas.microsoft.com/office/2006/metadata/properties" ma:root="true" ma:fieldsID="94467e04752577a74c8e86f269c58164" ns3:_="" ns4:_="">
    <xsd:import namespace="e3a966b9-8ac4-44af-91d9-1a37cc49fba2"/>
    <xsd:import namespace="96f74624-60fe-422c-8485-bcefc9ce383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a966b9-8ac4-44af-91d9-1a37cc49fb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6f74624-60fe-422c-8485-bcefc9ce3837"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08E98F3-74BF-4669-8799-CB716CDF933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CC17068-8649-46B3-AE82-078FB3CA5F6C}">
  <ds:schemaRefs>
    <ds:schemaRef ds:uri="http://schemas.microsoft.com/sharepoint/v3/contenttype/forms"/>
  </ds:schemaRefs>
</ds:datastoreItem>
</file>

<file path=customXml/itemProps3.xml><?xml version="1.0" encoding="utf-8"?>
<ds:datastoreItem xmlns:ds="http://schemas.openxmlformats.org/officeDocument/2006/customXml" ds:itemID="{304079DD-BCA8-4385-A02C-33B14745A5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a966b9-8ac4-44af-91d9-1a37cc49fba2"/>
    <ds:schemaRef ds:uri="96f74624-60fe-422c-8485-bcefc9ce38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555DBE5-6242-48B3-9D37-BE2842C7FE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JD LBH A4 letter.dot</Template>
  <TotalTime>0</TotalTime>
  <Pages>9</Pages>
  <Words>2989</Words>
  <Characters>17038</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Person’s Name</vt:lpstr>
    </vt:vector>
  </TitlesOfParts>
  <Company>London Borough of Hillingdon</Company>
  <LinksUpToDate>false</LinksUpToDate>
  <CharactersWithSpaces>19988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Person’s Name</dc:title>
  <dc:subject/>
  <dc:creator>Corporate ICT</dc:creator>
  <cp:keywords/>
  <cp:lastModifiedBy>John Allum</cp:lastModifiedBy>
  <cp:revision>2</cp:revision>
  <cp:lastPrinted>2010-11-29T11:31:00Z</cp:lastPrinted>
  <dcterms:created xsi:type="dcterms:W3CDTF">2026-09-14T18:28:00Z</dcterms:created>
  <dcterms:modified xsi:type="dcterms:W3CDTF">2026-09-14T18:28:00Z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0x0101000864DA8EBB7B7640BB9C6DEE472B4418</vt:lpwstr>
  </property>
  <property fmtid="{D5CDD505-2E9C-101B-9397-08002B2CF9AE}" pid="3" name="MSIP_Label_7a8edf35-91ea-44e1-afab-38c462b39a0c_Enabled">
    <vt:lpwstr>true</vt:lpwstr>
  </property>
  <property fmtid="{D5CDD505-2E9C-101B-9397-08002B2CF9AE}" pid="4" name="MSIP_Label_7a8edf35-91ea-44e1-afab-38c462b39a0c_SetDate">
    <vt:lpwstr>2022-02-28T15:05:41Z</vt:lpwstr>
  </property>
  <property fmtid="{D5CDD505-2E9C-101B-9397-08002B2CF9AE}" pid="5" name="MSIP_Label_7a8edf35-91ea-44e1-afab-38c462b39a0c_Method">
    <vt:lpwstr>Standard</vt:lpwstr>
  </property>
  <property fmtid="{D5CDD505-2E9C-101B-9397-08002B2CF9AE}" pid="6" name="MSIP_Label_7a8edf35-91ea-44e1-afab-38c462b39a0c_Name">
    <vt:lpwstr>Official</vt:lpwstr>
  </property>
  <property fmtid="{D5CDD505-2E9C-101B-9397-08002B2CF9AE}" pid="7" name="MSIP_Label_7a8edf35-91ea-44e1-afab-38c462b39a0c_SiteId">
    <vt:lpwstr>aaacb679-c381-48fb-b320-f9d581ee948f</vt:lpwstr>
  </property>
  <property fmtid="{D5CDD505-2E9C-101B-9397-08002B2CF9AE}" pid="8" name="MSIP_Label_7a8edf35-91ea-44e1-afab-38c462b39a0c_ActionId">
    <vt:lpwstr>646512db-fb27-4557-9891-802aa752279b</vt:lpwstr>
  </property>
  <property fmtid="{D5CDD505-2E9C-101B-9397-08002B2CF9AE}" pid="9" name="MSIP_Label_7a8edf35-91ea-44e1-afab-38c462b39a0c_ContentBits">
    <vt:lpwstr>0</vt:lpwstr>
  </property>
</Properties>
</file>