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6B79D" w14:textId="77777777" w:rsidR="0073305D" w:rsidRPr="004E687A" w:rsidRDefault="0073305D">
      <w:pPr>
        <w:pStyle w:val="Header"/>
        <w:tabs>
          <w:tab w:val="clear" w:pos="4153"/>
          <w:tab w:val="clear" w:pos="8306"/>
        </w:tabs>
      </w:pPr>
    </w:p>
    <w:p w14:paraId="61FEC817" w14:textId="77777777" w:rsidR="0073305D" w:rsidRPr="004E687A" w:rsidRDefault="0073305D">
      <w:pPr>
        <w:pStyle w:val="Header"/>
        <w:tabs>
          <w:tab w:val="clear" w:pos="4153"/>
          <w:tab w:val="clear" w:pos="8306"/>
        </w:tabs>
      </w:pPr>
    </w:p>
    <w:p w14:paraId="064F1431" w14:textId="77777777" w:rsidR="0073305D" w:rsidRDefault="0073305D">
      <w:pPr>
        <w:pStyle w:val="Header"/>
        <w:tabs>
          <w:tab w:val="clear" w:pos="4153"/>
          <w:tab w:val="clear" w:pos="8306"/>
        </w:tabs>
      </w:pPr>
    </w:p>
    <w:p w14:paraId="22C65C9E" w14:textId="77777777" w:rsidR="003564DE" w:rsidRPr="004E687A" w:rsidRDefault="003564DE">
      <w:pPr>
        <w:pStyle w:val="Header"/>
        <w:tabs>
          <w:tab w:val="clear" w:pos="4153"/>
          <w:tab w:val="clear" w:pos="8306"/>
        </w:tabs>
      </w:pPr>
    </w:p>
    <w:p w14:paraId="2EDBD172" w14:textId="77777777" w:rsidR="004E687A" w:rsidRDefault="004E687A">
      <w:pPr>
        <w:pStyle w:val="Header"/>
        <w:tabs>
          <w:tab w:val="clear" w:pos="4153"/>
          <w:tab w:val="clear" w:pos="8306"/>
        </w:tabs>
      </w:pPr>
    </w:p>
    <w:p w14:paraId="41FED728" w14:textId="77777777" w:rsidR="008368FE" w:rsidRPr="003564DE" w:rsidRDefault="003564DE" w:rsidP="003564DE">
      <w:pPr>
        <w:pStyle w:val="Header"/>
        <w:tabs>
          <w:tab w:val="clear" w:pos="4153"/>
          <w:tab w:val="clear" w:pos="8306"/>
        </w:tabs>
        <w:jc w:val="center"/>
        <w:rPr>
          <w:sz w:val="44"/>
          <w:szCs w:val="44"/>
        </w:rPr>
      </w:pPr>
      <w:r w:rsidRPr="003564DE">
        <w:rPr>
          <w:sz w:val="44"/>
          <w:szCs w:val="44"/>
        </w:rPr>
        <w:t>Town and Country Planning Act 1990</w:t>
      </w:r>
    </w:p>
    <w:p w14:paraId="68910414" w14:textId="77777777" w:rsidR="003564DE" w:rsidRPr="003564DE" w:rsidRDefault="003564DE" w:rsidP="003564DE">
      <w:pPr>
        <w:pStyle w:val="Header"/>
        <w:tabs>
          <w:tab w:val="clear" w:pos="4153"/>
          <w:tab w:val="clear" w:pos="8306"/>
        </w:tabs>
        <w:jc w:val="center"/>
        <w:rPr>
          <w:sz w:val="44"/>
          <w:szCs w:val="44"/>
        </w:rPr>
      </w:pPr>
      <w:r w:rsidRPr="003564DE">
        <w:rPr>
          <w:sz w:val="44"/>
          <w:szCs w:val="44"/>
        </w:rPr>
        <w:t>Section 78 Planning Appeal</w:t>
      </w:r>
    </w:p>
    <w:p w14:paraId="1E565859" w14:textId="77777777" w:rsidR="003564DE" w:rsidRDefault="003564DE">
      <w:pPr>
        <w:pStyle w:val="Header"/>
        <w:tabs>
          <w:tab w:val="clear" w:pos="4153"/>
          <w:tab w:val="clear" w:pos="8306"/>
        </w:tabs>
      </w:pPr>
    </w:p>
    <w:p w14:paraId="71880314" w14:textId="77777777" w:rsidR="003564DE" w:rsidRDefault="003564DE">
      <w:pPr>
        <w:pStyle w:val="Header"/>
        <w:tabs>
          <w:tab w:val="clear" w:pos="4153"/>
          <w:tab w:val="clear" w:pos="8306"/>
        </w:tabs>
      </w:pPr>
    </w:p>
    <w:p w14:paraId="09EB11AD" w14:textId="77777777" w:rsidR="003564DE" w:rsidRDefault="003564DE">
      <w:pPr>
        <w:pStyle w:val="Header"/>
        <w:tabs>
          <w:tab w:val="clear" w:pos="4153"/>
          <w:tab w:val="clear" w:pos="8306"/>
        </w:tabs>
      </w:pPr>
    </w:p>
    <w:p w14:paraId="1A11D39F" w14:textId="77777777" w:rsidR="003564DE" w:rsidRDefault="003564DE">
      <w:pPr>
        <w:pStyle w:val="Header"/>
        <w:tabs>
          <w:tab w:val="clear" w:pos="4153"/>
          <w:tab w:val="clear" w:pos="8306"/>
        </w:tabs>
      </w:pPr>
    </w:p>
    <w:p w14:paraId="38F02FF6" w14:textId="77777777" w:rsidR="003564DE" w:rsidRDefault="003564DE">
      <w:pPr>
        <w:pStyle w:val="Header"/>
        <w:tabs>
          <w:tab w:val="clear" w:pos="4153"/>
          <w:tab w:val="clear" w:pos="8306"/>
        </w:tabs>
      </w:pPr>
    </w:p>
    <w:p w14:paraId="716CC8DB" w14:textId="77777777" w:rsidR="003564DE" w:rsidRPr="003564DE" w:rsidRDefault="003564DE" w:rsidP="003564DE">
      <w:pPr>
        <w:pStyle w:val="Header"/>
        <w:tabs>
          <w:tab w:val="clear" w:pos="4153"/>
          <w:tab w:val="clear" w:pos="8306"/>
        </w:tabs>
        <w:jc w:val="center"/>
        <w:rPr>
          <w:sz w:val="72"/>
          <w:szCs w:val="72"/>
        </w:rPr>
      </w:pPr>
      <w:r>
        <w:rPr>
          <w:sz w:val="72"/>
          <w:szCs w:val="72"/>
        </w:rPr>
        <w:t xml:space="preserve">London Borough of Hillingdon </w:t>
      </w:r>
      <w:r w:rsidRPr="003564DE">
        <w:rPr>
          <w:sz w:val="72"/>
          <w:szCs w:val="72"/>
        </w:rPr>
        <w:t>Appeal Statement</w:t>
      </w:r>
    </w:p>
    <w:p w14:paraId="75626740" w14:textId="77777777" w:rsidR="008368FE" w:rsidRDefault="008368FE">
      <w:pPr>
        <w:pStyle w:val="Header"/>
        <w:tabs>
          <w:tab w:val="clear" w:pos="4153"/>
          <w:tab w:val="clear" w:pos="8306"/>
        </w:tabs>
      </w:pPr>
    </w:p>
    <w:p w14:paraId="5B1FFF74" w14:textId="77777777" w:rsidR="00017EA9" w:rsidRPr="00017EA9" w:rsidRDefault="00017EA9" w:rsidP="00017EA9"/>
    <w:p w14:paraId="7597F30F" w14:textId="77777777" w:rsidR="00017EA9" w:rsidRPr="00017EA9" w:rsidRDefault="00017EA9" w:rsidP="00017EA9"/>
    <w:p w14:paraId="61547232" w14:textId="77777777" w:rsidR="00017EA9" w:rsidRPr="00017EA9" w:rsidRDefault="00017EA9" w:rsidP="00017EA9"/>
    <w:p w14:paraId="7FADC9CB" w14:textId="77777777" w:rsidR="00017EA9" w:rsidRDefault="00017EA9" w:rsidP="00017EA9"/>
    <w:p w14:paraId="49236496" w14:textId="77777777" w:rsidR="00017EA9" w:rsidRDefault="00017EA9" w:rsidP="00533DB4">
      <w:pPr>
        <w:tabs>
          <w:tab w:val="left" w:pos="3765"/>
        </w:tabs>
      </w:pPr>
    </w:p>
    <w:p w14:paraId="6DD6A16F" w14:textId="77777777" w:rsidR="003564DE" w:rsidRDefault="003564DE" w:rsidP="00533DB4">
      <w:pPr>
        <w:pStyle w:val="Normal1"/>
        <w:widowControl w:val="0"/>
        <w:jc w:val="center"/>
        <w:rPr>
          <w:rFonts w:ascii="Arial" w:eastAsia="Arial" w:hAnsi="Arial" w:cs="Arial"/>
          <w:b/>
        </w:rPr>
      </w:pPr>
      <w:r>
        <w:rPr>
          <w:rFonts w:ascii="Arial" w:eastAsia="Arial" w:hAnsi="Arial" w:cs="Arial"/>
          <w:b/>
        </w:rPr>
        <w:t>Appeal By:</w:t>
      </w:r>
    </w:p>
    <w:p w14:paraId="5DFC2272" w14:textId="77777777" w:rsidR="004622AE" w:rsidRDefault="004622AE" w:rsidP="004622AE">
      <w:pPr>
        <w:pStyle w:val="Normal1"/>
        <w:pBdr>
          <w:top w:val="nil"/>
          <w:left w:val="nil"/>
          <w:bottom w:val="nil"/>
          <w:right w:val="nil"/>
          <w:between w:val="nil"/>
        </w:pBdr>
        <w:tabs>
          <w:tab w:val="left" w:pos="540"/>
        </w:tabs>
        <w:jc w:val="center"/>
        <w:rPr>
          <w:rFonts w:ascii="Arial" w:eastAsia="Arial" w:hAnsi="Arial" w:cs="Arial"/>
        </w:rPr>
      </w:pPr>
    </w:p>
    <w:p w14:paraId="3988DA59" w14:textId="32499F1A" w:rsidR="004622AE" w:rsidRDefault="000E1ABD" w:rsidP="00533DB4">
      <w:pPr>
        <w:pStyle w:val="Normal1"/>
        <w:pBdr>
          <w:top w:val="nil"/>
          <w:left w:val="nil"/>
          <w:bottom w:val="nil"/>
          <w:right w:val="nil"/>
          <w:between w:val="nil"/>
        </w:pBdr>
        <w:jc w:val="center"/>
        <w:rPr>
          <w:rFonts w:ascii="Arial" w:eastAsia="Arial" w:hAnsi="Arial" w:cs="Arial"/>
        </w:rPr>
      </w:pPr>
      <w:r w:rsidRPr="000E1ABD">
        <w:rPr>
          <w:rFonts w:ascii="Arial" w:eastAsia="Arial" w:hAnsi="Arial" w:cs="Arial"/>
        </w:rPr>
        <w:t xml:space="preserve">Mr </w:t>
      </w:r>
      <w:proofErr w:type="spellStart"/>
      <w:r w:rsidRPr="000E1ABD">
        <w:rPr>
          <w:rFonts w:ascii="Arial" w:eastAsia="Arial" w:hAnsi="Arial" w:cs="Arial"/>
        </w:rPr>
        <w:t>Suty</w:t>
      </w:r>
      <w:proofErr w:type="spellEnd"/>
      <w:r w:rsidRPr="000E1ABD">
        <w:rPr>
          <w:rFonts w:ascii="Arial" w:eastAsia="Arial" w:hAnsi="Arial" w:cs="Arial"/>
        </w:rPr>
        <w:t xml:space="preserve"> Bharrich</w:t>
      </w:r>
    </w:p>
    <w:p w14:paraId="15C551EC" w14:textId="77777777" w:rsidR="00452F08" w:rsidRDefault="00452F08" w:rsidP="00533DB4">
      <w:pPr>
        <w:pStyle w:val="Normal1"/>
        <w:pBdr>
          <w:top w:val="nil"/>
          <w:left w:val="nil"/>
          <w:bottom w:val="nil"/>
          <w:right w:val="nil"/>
          <w:between w:val="nil"/>
        </w:pBdr>
        <w:jc w:val="center"/>
        <w:rPr>
          <w:rFonts w:ascii="Arial" w:eastAsia="Arial" w:hAnsi="Arial" w:cs="Arial"/>
          <w:b/>
          <w:color w:val="000000"/>
        </w:rPr>
      </w:pPr>
    </w:p>
    <w:p w14:paraId="522D5CED" w14:textId="77777777" w:rsidR="003564DE" w:rsidRDefault="003564DE" w:rsidP="00533DB4">
      <w:pPr>
        <w:pStyle w:val="Normal1"/>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Proposal:</w:t>
      </w:r>
    </w:p>
    <w:p w14:paraId="50842913" w14:textId="77777777" w:rsidR="00D33D9D" w:rsidRDefault="00D33D9D" w:rsidP="00533DB4">
      <w:pPr>
        <w:pStyle w:val="Normal1"/>
        <w:pBdr>
          <w:top w:val="nil"/>
          <w:left w:val="nil"/>
          <w:bottom w:val="nil"/>
          <w:right w:val="nil"/>
          <w:between w:val="nil"/>
        </w:pBdr>
        <w:jc w:val="center"/>
        <w:rPr>
          <w:rFonts w:ascii="Arial" w:eastAsia="Arial" w:hAnsi="Arial" w:cs="Arial"/>
          <w:color w:val="000000"/>
        </w:rPr>
      </w:pPr>
    </w:p>
    <w:p w14:paraId="159AA46C" w14:textId="04759607" w:rsidR="00710600" w:rsidRDefault="00250D76" w:rsidP="00533DB4">
      <w:pPr>
        <w:pStyle w:val="Normal1"/>
        <w:pBdr>
          <w:top w:val="nil"/>
          <w:left w:val="nil"/>
          <w:bottom w:val="nil"/>
          <w:right w:val="nil"/>
          <w:between w:val="nil"/>
        </w:pBdr>
        <w:jc w:val="center"/>
        <w:rPr>
          <w:rFonts w:ascii="Arial" w:eastAsia="Arial" w:hAnsi="Arial" w:cs="Arial"/>
          <w:color w:val="000000"/>
        </w:rPr>
      </w:pPr>
      <w:r w:rsidRPr="00250D76">
        <w:rPr>
          <w:rFonts w:ascii="Arial" w:eastAsia="Arial" w:hAnsi="Arial" w:cs="Arial"/>
          <w:color w:val="000000"/>
        </w:rPr>
        <w:t>Use of existing outbuildings within the residential curtilage of nos. 18-20 Wilmar Close as ancillary accommodation to the main dwellings.</w:t>
      </w:r>
    </w:p>
    <w:p w14:paraId="3BB8C12C" w14:textId="77777777" w:rsidR="00250D76" w:rsidRDefault="00250D76" w:rsidP="00533DB4">
      <w:pPr>
        <w:pStyle w:val="Normal1"/>
        <w:pBdr>
          <w:top w:val="nil"/>
          <w:left w:val="nil"/>
          <w:bottom w:val="nil"/>
          <w:right w:val="nil"/>
          <w:between w:val="nil"/>
        </w:pBdr>
        <w:jc w:val="center"/>
        <w:rPr>
          <w:rFonts w:ascii="Arial" w:eastAsia="Arial" w:hAnsi="Arial" w:cs="Arial"/>
          <w:color w:val="000000"/>
        </w:rPr>
      </w:pPr>
    </w:p>
    <w:p w14:paraId="79289843" w14:textId="77777777" w:rsidR="003564DE" w:rsidRDefault="003564DE" w:rsidP="00533DB4">
      <w:pPr>
        <w:pStyle w:val="Normal1"/>
        <w:widowControl w:val="0"/>
        <w:jc w:val="center"/>
        <w:rPr>
          <w:rFonts w:ascii="Arial" w:eastAsia="Arial" w:hAnsi="Arial" w:cs="Arial"/>
          <w:b/>
        </w:rPr>
      </w:pPr>
      <w:r>
        <w:rPr>
          <w:rFonts w:ascii="Arial" w:eastAsia="Arial" w:hAnsi="Arial" w:cs="Arial"/>
          <w:b/>
        </w:rPr>
        <w:t>Appeal Site:</w:t>
      </w:r>
    </w:p>
    <w:p w14:paraId="256644CB" w14:textId="77777777" w:rsidR="00D33D9D" w:rsidRDefault="00D33D9D" w:rsidP="00533DB4">
      <w:pPr>
        <w:pStyle w:val="Normal1"/>
        <w:widowControl w:val="0"/>
        <w:jc w:val="center"/>
        <w:rPr>
          <w:rFonts w:ascii="Arial" w:eastAsia="Arial" w:hAnsi="Arial" w:cs="Arial"/>
          <w:b/>
        </w:rPr>
      </w:pPr>
    </w:p>
    <w:p w14:paraId="5F69DC5D" w14:textId="414CA9B0" w:rsidR="00D33D9D" w:rsidRPr="00D33D9D" w:rsidRDefault="00D33D9D" w:rsidP="00533DB4">
      <w:pPr>
        <w:pStyle w:val="Normal1"/>
        <w:widowControl w:val="0"/>
        <w:jc w:val="center"/>
        <w:rPr>
          <w:rFonts w:ascii="Arial" w:eastAsia="Arial" w:hAnsi="Arial" w:cs="Arial"/>
          <w:bCs/>
        </w:rPr>
      </w:pPr>
      <w:r w:rsidRPr="00D33D9D">
        <w:rPr>
          <w:rFonts w:ascii="Arial" w:eastAsia="Arial" w:hAnsi="Arial" w:cs="Arial"/>
          <w:bCs/>
        </w:rPr>
        <w:t xml:space="preserve"> </w:t>
      </w:r>
      <w:r w:rsidR="005F0C23">
        <w:rPr>
          <w:rFonts w:ascii="Arial" w:eastAsia="Arial" w:hAnsi="Arial" w:cs="Arial"/>
          <w:bCs/>
        </w:rPr>
        <w:t xml:space="preserve">18 and 20, Wilmar Close, Hayes, </w:t>
      </w:r>
      <w:r w:rsidR="00BD5C7D">
        <w:rPr>
          <w:rFonts w:ascii="Arial" w:eastAsia="Arial" w:hAnsi="Arial" w:cs="Arial"/>
          <w:bCs/>
        </w:rPr>
        <w:t xml:space="preserve">UB4 8ET </w:t>
      </w:r>
    </w:p>
    <w:p w14:paraId="7B37B399" w14:textId="77777777" w:rsidR="00017EA9" w:rsidRDefault="00017EA9" w:rsidP="00017EA9">
      <w:pPr>
        <w:tabs>
          <w:tab w:val="left" w:pos="3765"/>
        </w:tabs>
      </w:pPr>
    </w:p>
    <w:p w14:paraId="22F1F04A" w14:textId="77777777" w:rsidR="00017EA9" w:rsidRDefault="00017EA9" w:rsidP="00017EA9">
      <w:pPr>
        <w:tabs>
          <w:tab w:val="left" w:pos="3765"/>
        </w:tabs>
      </w:pPr>
    </w:p>
    <w:p w14:paraId="369C1C87" w14:textId="77777777" w:rsidR="00017EA9" w:rsidRDefault="00017EA9" w:rsidP="00017EA9">
      <w:pPr>
        <w:tabs>
          <w:tab w:val="left" w:pos="3765"/>
        </w:tabs>
      </w:pPr>
    </w:p>
    <w:p w14:paraId="1DFF3220" w14:textId="77777777" w:rsidR="00017EA9" w:rsidRDefault="00017EA9" w:rsidP="00017EA9">
      <w:pPr>
        <w:tabs>
          <w:tab w:val="left" w:pos="3765"/>
        </w:tabs>
      </w:pPr>
    </w:p>
    <w:p w14:paraId="6232A940" w14:textId="77777777" w:rsidR="00017EA9" w:rsidRDefault="00017EA9" w:rsidP="00017EA9">
      <w:pPr>
        <w:tabs>
          <w:tab w:val="left" w:pos="3765"/>
        </w:tabs>
      </w:pPr>
    </w:p>
    <w:p w14:paraId="2BBE7C2C" w14:textId="77777777" w:rsidR="00EA024A" w:rsidRDefault="00EA024A" w:rsidP="00017EA9">
      <w:pPr>
        <w:tabs>
          <w:tab w:val="left" w:pos="3765"/>
        </w:tabs>
      </w:pPr>
    </w:p>
    <w:p w14:paraId="51DEB32C" w14:textId="77777777" w:rsidR="00EA024A" w:rsidRDefault="00EA024A" w:rsidP="00017EA9">
      <w:pPr>
        <w:tabs>
          <w:tab w:val="left" w:pos="3765"/>
        </w:tabs>
      </w:pPr>
    </w:p>
    <w:p w14:paraId="13ADA0B2" w14:textId="77777777" w:rsidR="00EA024A" w:rsidRDefault="00EA024A" w:rsidP="00017EA9">
      <w:pPr>
        <w:tabs>
          <w:tab w:val="left" w:pos="3765"/>
        </w:tabs>
      </w:pPr>
    </w:p>
    <w:p w14:paraId="56CFEBAF" w14:textId="7729505E" w:rsidR="00EA024A" w:rsidRDefault="003D3CEC" w:rsidP="003D3CEC">
      <w:pPr>
        <w:tabs>
          <w:tab w:val="left" w:pos="2850"/>
        </w:tabs>
      </w:pPr>
      <w:r>
        <w:lastRenderedPageBreak/>
        <w:tab/>
      </w:r>
    </w:p>
    <w:p w14:paraId="4C93DBDC" w14:textId="77777777" w:rsidR="00017EA9" w:rsidRDefault="00017EA9" w:rsidP="00017EA9">
      <w:pPr>
        <w:tabs>
          <w:tab w:val="left" w:pos="3765"/>
        </w:tabs>
      </w:pPr>
    </w:p>
    <w:p w14:paraId="5F665811" w14:textId="77777777" w:rsidR="00D33D9D" w:rsidRDefault="00D33D9D" w:rsidP="00017EA9">
      <w:pPr>
        <w:tabs>
          <w:tab w:val="left" w:pos="3765"/>
        </w:tabs>
      </w:pPr>
    </w:p>
    <w:p w14:paraId="744D7983" w14:textId="77777777" w:rsidR="00C31FBF" w:rsidRPr="00C76C55" w:rsidRDefault="00C31FBF" w:rsidP="008664D4">
      <w:pPr>
        <w:tabs>
          <w:tab w:val="left" w:pos="567"/>
        </w:tabs>
        <w:autoSpaceDE w:val="0"/>
        <w:autoSpaceDN w:val="0"/>
        <w:adjustRightInd w:val="0"/>
        <w:rPr>
          <w:rFonts w:cs="Arial"/>
          <w:b/>
          <w:bCs/>
          <w:sz w:val="36"/>
          <w:szCs w:val="36"/>
          <w:lang w:eastAsia="en-GB"/>
        </w:rPr>
      </w:pPr>
      <w:r w:rsidRPr="00C76C55">
        <w:rPr>
          <w:rFonts w:cs="Arial"/>
          <w:b/>
          <w:bCs/>
          <w:sz w:val="36"/>
          <w:szCs w:val="36"/>
          <w:lang w:eastAsia="en-GB"/>
        </w:rPr>
        <w:t xml:space="preserve">1. </w:t>
      </w:r>
      <w:r w:rsidR="008664D4" w:rsidRPr="00C76C55">
        <w:rPr>
          <w:rFonts w:cs="Arial"/>
          <w:b/>
          <w:bCs/>
          <w:sz w:val="36"/>
          <w:szCs w:val="36"/>
          <w:lang w:eastAsia="en-GB"/>
        </w:rPr>
        <w:tab/>
      </w:r>
      <w:r w:rsidRPr="00C76C55">
        <w:rPr>
          <w:rFonts w:cs="Arial"/>
          <w:b/>
          <w:bCs/>
          <w:sz w:val="36"/>
          <w:szCs w:val="36"/>
          <w:lang w:eastAsia="en-GB"/>
        </w:rPr>
        <w:t>Introduction</w:t>
      </w:r>
    </w:p>
    <w:p w14:paraId="5B3B81A9" w14:textId="77777777" w:rsidR="00C31FBF" w:rsidRPr="00C76C55" w:rsidRDefault="00C31FBF" w:rsidP="00C31FBF">
      <w:pPr>
        <w:autoSpaceDE w:val="0"/>
        <w:autoSpaceDN w:val="0"/>
        <w:adjustRightInd w:val="0"/>
        <w:rPr>
          <w:rFonts w:cs="Arial"/>
          <w:b/>
          <w:bCs/>
          <w:lang w:eastAsia="en-GB"/>
        </w:rPr>
      </w:pPr>
    </w:p>
    <w:p w14:paraId="14EA1FF7" w14:textId="778A5DC3" w:rsidR="00A71B33" w:rsidRPr="00A71B33" w:rsidRDefault="00C31FBF" w:rsidP="00720067">
      <w:pPr>
        <w:ind w:left="567" w:hanging="567"/>
        <w:rPr>
          <w:rFonts w:cs="Arial"/>
          <w:lang w:eastAsia="en-GB"/>
        </w:rPr>
      </w:pPr>
      <w:r w:rsidRPr="004D43F7">
        <w:rPr>
          <w:rFonts w:cs="Arial"/>
          <w:lang w:eastAsia="en-GB"/>
        </w:rPr>
        <w:t xml:space="preserve">1.1 </w:t>
      </w:r>
      <w:r w:rsidR="008664D4" w:rsidRPr="004D43F7">
        <w:rPr>
          <w:rFonts w:cs="Arial"/>
          <w:lang w:eastAsia="en-GB"/>
        </w:rPr>
        <w:tab/>
      </w:r>
      <w:r w:rsidRPr="004D43F7">
        <w:rPr>
          <w:rFonts w:cs="Arial"/>
          <w:lang w:eastAsia="en-GB"/>
        </w:rPr>
        <w:t xml:space="preserve">This </w:t>
      </w:r>
      <w:r w:rsidR="00A12FAD" w:rsidRPr="004D43F7">
        <w:rPr>
          <w:rFonts w:cs="Arial"/>
          <w:lang w:eastAsia="en-GB"/>
        </w:rPr>
        <w:t>appeal s</w:t>
      </w:r>
      <w:r w:rsidRPr="004D43F7">
        <w:rPr>
          <w:rFonts w:cs="Arial"/>
          <w:lang w:eastAsia="en-GB"/>
        </w:rPr>
        <w:t xml:space="preserve">tatement is submitted by the </w:t>
      </w:r>
      <w:r w:rsidR="008664D4" w:rsidRPr="004D43F7">
        <w:rPr>
          <w:rFonts w:cs="Arial"/>
          <w:lang w:eastAsia="en-GB"/>
        </w:rPr>
        <w:t>London Borough of Hillingdon</w:t>
      </w:r>
      <w:r w:rsidR="00C76C55" w:rsidRPr="004D43F7">
        <w:rPr>
          <w:rFonts w:cs="Arial"/>
          <w:lang w:eastAsia="en-GB"/>
        </w:rPr>
        <w:t>,</w:t>
      </w:r>
      <w:r w:rsidR="00A12FAD" w:rsidRPr="004D43F7">
        <w:rPr>
          <w:rFonts w:cs="Arial"/>
          <w:lang w:eastAsia="en-GB"/>
        </w:rPr>
        <w:t xml:space="preserve"> as</w:t>
      </w:r>
      <w:r w:rsidR="008664D4" w:rsidRPr="004D43F7">
        <w:rPr>
          <w:rFonts w:cs="Arial"/>
          <w:lang w:eastAsia="en-GB"/>
        </w:rPr>
        <w:t xml:space="preserve"> the Local Planning Authority (LPA)</w:t>
      </w:r>
      <w:r w:rsidR="00C76C55" w:rsidRPr="004D43F7">
        <w:rPr>
          <w:rFonts w:cs="Arial"/>
          <w:lang w:eastAsia="en-GB"/>
        </w:rPr>
        <w:t>,</w:t>
      </w:r>
      <w:r w:rsidR="008664D4" w:rsidRPr="004D43F7">
        <w:rPr>
          <w:rFonts w:cs="Arial"/>
          <w:lang w:eastAsia="en-GB"/>
        </w:rPr>
        <w:t xml:space="preserve"> </w:t>
      </w:r>
      <w:r w:rsidRPr="004D43F7">
        <w:rPr>
          <w:rFonts w:cs="Arial"/>
          <w:lang w:eastAsia="en-GB"/>
        </w:rPr>
        <w:t>in r</w:t>
      </w:r>
      <w:r w:rsidR="008664D4" w:rsidRPr="004D43F7">
        <w:rPr>
          <w:rFonts w:cs="Arial"/>
          <w:lang w:eastAsia="en-GB"/>
        </w:rPr>
        <w:t xml:space="preserve">espect of </w:t>
      </w:r>
      <w:r w:rsidR="0024106F">
        <w:rPr>
          <w:rFonts w:cs="Arial"/>
          <w:lang w:eastAsia="en-GB"/>
        </w:rPr>
        <w:t xml:space="preserve">the </w:t>
      </w:r>
      <w:r w:rsidR="00250D76" w:rsidRPr="00250D76">
        <w:rPr>
          <w:rFonts w:cs="Arial"/>
          <w:lang w:eastAsia="en-GB"/>
        </w:rPr>
        <w:t>Use of existing outbuildings within the residential curtilage of nos. 18-20 Wilmar Close as ancillary accommodation to the main dwellings.</w:t>
      </w:r>
    </w:p>
    <w:p w14:paraId="74D90BF6" w14:textId="77777777" w:rsidR="00C31FBF" w:rsidRPr="00C76C55" w:rsidRDefault="00C31FBF" w:rsidP="00C31FBF">
      <w:pPr>
        <w:autoSpaceDE w:val="0"/>
        <w:autoSpaceDN w:val="0"/>
        <w:adjustRightInd w:val="0"/>
        <w:rPr>
          <w:rFonts w:cs="Arial"/>
          <w:highlight w:val="yellow"/>
          <w:lang w:eastAsia="en-GB"/>
        </w:rPr>
      </w:pPr>
    </w:p>
    <w:p w14:paraId="000E8574" w14:textId="6F0D1C06" w:rsidR="00DA58EB" w:rsidRPr="00DA58EB" w:rsidRDefault="00C31FBF" w:rsidP="00DA58EB">
      <w:pPr>
        <w:tabs>
          <w:tab w:val="left" w:pos="567"/>
        </w:tabs>
        <w:autoSpaceDE w:val="0"/>
        <w:autoSpaceDN w:val="0"/>
        <w:adjustRightInd w:val="0"/>
        <w:ind w:left="567" w:hanging="567"/>
        <w:rPr>
          <w:rFonts w:cs="Arial"/>
          <w:lang w:eastAsia="en-GB"/>
        </w:rPr>
      </w:pPr>
      <w:r w:rsidRPr="004D43F7">
        <w:rPr>
          <w:rFonts w:cs="Arial"/>
          <w:lang w:eastAsia="en-GB"/>
        </w:rPr>
        <w:t xml:space="preserve">1.2 </w:t>
      </w:r>
      <w:r w:rsidR="008664D4" w:rsidRPr="004D43F7">
        <w:rPr>
          <w:rFonts w:cs="Arial"/>
          <w:lang w:eastAsia="en-GB"/>
        </w:rPr>
        <w:tab/>
      </w:r>
      <w:r w:rsidR="00250D76">
        <w:rPr>
          <w:rFonts w:cs="Arial"/>
          <w:lang w:eastAsia="en-GB"/>
        </w:rPr>
        <w:t xml:space="preserve">Planning permission was refused under delegated powers on </w:t>
      </w:r>
      <w:r w:rsidR="00D43061">
        <w:rPr>
          <w:rFonts w:cs="Arial"/>
          <w:lang w:eastAsia="en-GB"/>
        </w:rPr>
        <w:t>24</w:t>
      </w:r>
      <w:r w:rsidR="00D43061" w:rsidRPr="00D43061">
        <w:rPr>
          <w:rFonts w:cs="Arial"/>
          <w:vertAlign w:val="superscript"/>
          <w:lang w:eastAsia="en-GB"/>
        </w:rPr>
        <w:t>th</w:t>
      </w:r>
      <w:r w:rsidR="00D43061">
        <w:rPr>
          <w:rFonts w:cs="Arial"/>
          <w:lang w:eastAsia="en-GB"/>
        </w:rPr>
        <w:t xml:space="preserve"> April 2026 for the following </w:t>
      </w:r>
      <w:r w:rsidR="00830C8E">
        <w:rPr>
          <w:rFonts w:cs="Arial"/>
          <w:lang w:eastAsia="en-GB"/>
        </w:rPr>
        <w:t xml:space="preserve">two </w:t>
      </w:r>
      <w:r w:rsidR="00D43061">
        <w:rPr>
          <w:rFonts w:cs="Arial"/>
          <w:lang w:eastAsia="en-GB"/>
        </w:rPr>
        <w:t xml:space="preserve">reasons: </w:t>
      </w:r>
      <w:r w:rsidR="00F60B65">
        <w:rPr>
          <w:rFonts w:eastAsia="Arial" w:cs="Arial"/>
          <w:color w:val="000000"/>
        </w:rPr>
        <w:t xml:space="preserve"> </w:t>
      </w:r>
    </w:p>
    <w:p w14:paraId="12A529A7" w14:textId="77777777" w:rsidR="002D00D9" w:rsidRDefault="002D00D9" w:rsidP="00F60B65">
      <w:pPr>
        <w:tabs>
          <w:tab w:val="left" w:pos="567"/>
        </w:tabs>
        <w:autoSpaceDE w:val="0"/>
        <w:autoSpaceDN w:val="0"/>
        <w:adjustRightInd w:val="0"/>
        <w:rPr>
          <w:rFonts w:cs="Arial"/>
          <w:lang w:eastAsia="en-GB"/>
        </w:rPr>
      </w:pPr>
    </w:p>
    <w:p w14:paraId="17CCD61C" w14:textId="4F8557BE" w:rsidR="00A71B33" w:rsidRDefault="00830C8E">
      <w:pPr>
        <w:numPr>
          <w:ilvl w:val="0"/>
          <w:numId w:val="1"/>
        </w:numPr>
        <w:tabs>
          <w:tab w:val="left" w:pos="567"/>
        </w:tabs>
        <w:autoSpaceDE w:val="0"/>
        <w:autoSpaceDN w:val="0"/>
        <w:adjustRightInd w:val="0"/>
        <w:rPr>
          <w:rFonts w:cs="Arial"/>
          <w:lang w:eastAsia="en-GB"/>
        </w:rPr>
      </w:pPr>
      <w:r w:rsidRPr="00830C8E">
        <w:rPr>
          <w:rFonts w:cs="Arial"/>
          <w:lang w:eastAsia="en-GB"/>
        </w:rPr>
        <w:t>The proposed development, by reason of the provision of facilities within the outbuilding and independent access to the outbuilding, would be tantamount to the creation of separate self-contained residential units in a position where such dwellings would be unacceptable. Consequently, the proposed development would harm the area's character and appearance and the amenity of neighbouring residents. The proposal is, therefore, contrary to the National Planning Policy Framework (2024), Policies D1, D3, D4, and D6 of the London Plan (2021), and Policies DMH 6, DMHD 2, and DMHB 11 of the Hillingdon Local Plan: Part Two - Development Management Policies (2020).</w:t>
      </w:r>
    </w:p>
    <w:p w14:paraId="3E7A5702" w14:textId="0BDE1AE0" w:rsidR="00830C8E" w:rsidRDefault="00830C8E" w:rsidP="00830C8E">
      <w:pPr>
        <w:tabs>
          <w:tab w:val="left" w:pos="567"/>
        </w:tabs>
        <w:autoSpaceDE w:val="0"/>
        <w:autoSpaceDN w:val="0"/>
        <w:adjustRightInd w:val="0"/>
        <w:ind w:left="930"/>
        <w:rPr>
          <w:rFonts w:cs="Arial"/>
          <w:lang w:eastAsia="en-GB"/>
        </w:rPr>
      </w:pPr>
    </w:p>
    <w:p w14:paraId="402EDBD6" w14:textId="64B45371" w:rsidR="00830C8E" w:rsidRPr="007C2F9A" w:rsidRDefault="005E3498">
      <w:pPr>
        <w:numPr>
          <w:ilvl w:val="0"/>
          <w:numId w:val="1"/>
        </w:numPr>
        <w:tabs>
          <w:tab w:val="left" w:pos="567"/>
        </w:tabs>
        <w:autoSpaceDE w:val="0"/>
        <w:autoSpaceDN w:val="0"/>
        <w:adjustRightInd w:val="0"/>
        <w:rPr>
          <w:rFonts w:cs="Arial"/>
          <w:lang w:eastAsia="en-GB"/>
        </w:rPr>
      </w:pPr>
      <w:r w:rsidRPr="005E3498">
        <w:rPr>
          <w:rFonts w:cs="Arial"/>
          <w:lang w:eastAsia="en-GB"/>
        </w:rPr>
        <w:t>The proposed residential use of the outbuildings would generate additional demand for parking which cannot be provided on site and would therefore result in potential displacement of vehicles within the public highway, restricting the safe movement of vehicles and undermining highway safety and amenity contrary to Policies DMT1, DMT2 and DMT 6 of the Hillingdon Local Plan: Part Two - Development Management Policies (2020); and Policies T4 and T6.1 of the London Plan 2021.</w:t>
      </w:r>
    </w:p>
    <w:p w14:paraId="47878A46" w14:textId="77777777" w:rsidR="00830C8E" w:rsidRDefault="00830C8E" w:rsidP="00F96766">
      <w:pPr>
        <w:tabs>
          <w:tab w:val="left" w:pos="567"/>
        </w:tabs>
        <w:autoSpaceDE w:val="0"/>
        <w:autoSpaceDN w:val="0"/>
        <w:adjustRightInd w:val="0"/>
        <w:rPr>
          <w:rFonts w:cs="Arial"/>
          <w:lang w:eastAsia="en-GB"/>
        </w:rPr>
      </w:pPr>
    </w:p>
    <w:p w14:paraId="125C2BFB" w14:textId="4DC2942D" w:rsidR="002D00D9" w:rsidRDefault="00032713" w:rsidP="003B6E13">
      <w:pPr>
        <w:tabs>
          <w:tab w:val="left" w:pos="567"/>
        </w:tabs>
        <w:autoSpaceDE w:val="0"/>
        <w:autoSpaceDN w:val="0"/>
        <w:adjustRightInd w:val="0"/>
        <w:ind w:left="567" w:hanging="425"/>
        <w:rPr>
          <w:rFonts w:cs="Arial"/>
          <w:lang w:eastAsia="en-GB"/>
        </w:rPr>
      </w:pPr>
      <w:r>
        <w:rPr>
          <w:rFonts w:cs="Arial"/>
          <w:lang w:eastAsia="en-GB"/>
        </w:rPr>
        <w:t>1.</w:t>
      </w:r>
      <w:r w:rsidR="00830C8E">
        <w:rPr>
          <w:rFonts w:cs="Arial"/>
          <w:lang w:eastAsia="en-GB"/>
        </w:rPr>
        <w:t>3</w:t>
      </w:r>
      <w:r>
        <w:rPr>
          <w:rFonts w:cs="Arial"/>
          <w:lang w:eastAsia="en-GB"/>
        </w:rPr>
        <w:t xml:space="preserve"> </w:t>
      </w:r>
      <w:r w:rsidR="00C31FBF" w:rsidRPr="004D43F7">
        <w:rPr>
          <w:rFonts w:cs="Arial"/>
          <w:lang w:eastAsia="en-GB"/>
        </w:rPr>
        <w:t xml:space="preserve">The </w:t>
      </w:r>
      <w:r w:rsidR="00A12FAD" w:rsidRPr="004D43F7">
        <w:rPr>
          <w:rFonts w:cs="Arial"/>
          <w:lang w:eastAsia="en-GB"/>
        </w:rPr>
        <w:t xml:space="preserve">LPA’s </w:t>
      </w:r>
      <w:r w:rsidR="00C31FBF" w:rsidRPr="004D43F7">
        <w:rPr>
          <w:rFonts w:cs="Arial"/>
          <w:lang w:eastAsia="en-GB"/>
        </w:rPr>
        <w:t>case is set out</w:t>
      </w:r>
      <w:r w:rsidR="00A12FAD" w:rsidRPr="004D43F7">
        <w:rPr>
          <w:rFonts w:cs="Arial"/>
          <w:lang w:eastAsia="en-GB"/>
        </w:rPr>
        <w:t xml:space="preserve"> </w:t>
      </w:r>
      <w:r w:rsidR="00C31FBF" w:rsidRPr="004D43F7">
        <w:rPr>
          <w:rFonts w:cs="Arial"/>
          <w:lang w:eastAsia="en-GB"/>
        </w:rPr>
        <w:t xml:space="preserve">in the Planning Officer’s </w:t>
      </w:r>
      <w:r w:rsidR="00080BA5">
        <w:rPr>
          <w:rFonts w:cs="Arial"/>
          <w:lang w:eastAsia="en-GB"/>
        </w:rPr>
        <w:t xml:space="preserve">delegated </w:t>
      </w:r>
      <w:r w:rsidR="00C76C55" w:rsidRPr="004D43F7">
        <w:rPr>
          <w:rFonts w:cs="Arial"/>
          <w:lang w:eastAsia="en-GB"/>
        </w:rPr>
        <w:t>r</w:t>
      </w:r>
      <w:r w:rsidR="00C31FBF" w:rsidRPr="004D43F7">
        <w:rPr>
          <w:rFonts w:cs="Arial"/>
          <w:lang w:eastAsia="en-GB"/>
        </w:rPr>
        <w:t>eport</w:t>
      </w:r>
      <w:r w:rsidR="00080BA5">
        <w:rPr>
          <w:rFonts w:cs="Arial"/>
          <w:lang w:eastAsia="en-GB"/>
        </w:rPr>
        <w:t xml:space="preserve"> (see Appendix 1)</w:t>
      </w:r>
      <w:r w:rsidR="00C31FBF" w:rsidRPr="004D43F7">
        <w:rPr>
          <w:rFonts w:cs="Arial"/>
          <w:lang w:eastAsia="en-GB"/>
        </w:rPr>
        <w:t>,</w:t>
      </w:r>
      <w:r w:rsidR="00A12FAD" w:rsidRPr="004D43F7">
        <w:rPr>
          <w:rFonts w:cs="Arial"/>
          <w:lang w:eastAsia="en-GB"/>
        </w:rPr>
        <w:t xml:space="preserve"> which should be read in conjunction with this statement. </w:t>
      </w:r>
      <w:r w:rsidR="00F96766" w:rsidRPr="004D43F7">
        <w:rPr>
          <w:rFonts w:cs="Arial"/>
          <w:lang w:eastAsia="en-GB"/>
        </w:rPr>
        <w:t>This</w:t>
      </w:r>
      <w:r w:rsidR="00A12FAD" w:rsidRPr="004D43F7">
        <w:rPr>
          <w:rFonts w:cs="Arial"/>
          <w:lang w:eastAsia="en-GB"/>
        </w:rPr>
        <w:t xml:space="preserve"> statement will</w:t>
      </w:r>
      <w:r w:rsidR="005B3CE2" w:rsidRPr="004D43F7">
        <w:rPr>
          <w:rFonts w:cs="Arial"/>
          <w:lang w:eastAsia="en-GB"/>
        </w:rPr>
        <w:t xml:space="preserve"> not repeat the </w:t>
      </w:r>
      <w:r w:rsidR="00245536">
        <w:rPr>
          <w:rFonts w:cs="Arial"/>
          <w:lang w:eastAsia="en-GB"/>
        </w:rPr>
        <w:t xml:space="preserve">content of the </w:t>
      </w:r>
      <w:r w:rsidR="009A1524">
        <w:rPr>
          <w:rFonts w:cs="Arial"/>
          <w:lang w:eastAsia="en-GB"/>
        </w:rPr>
        <w:t>delegated</w:t>
      </w:r>
      <w:r w:rsidR="00245536">
        <w:rPr>
          <w:rFonts w:cs="Arial"/>
          <w:lang w:eastAsia="en-GB"/>
        </w:rPr>
        <w:t xml:space="preserve"> report</w:t>
      </w:r>
      <w:r w:rsidR="005B3CE2" w:rsidRPr="004D43F7">
        <w:rPr>
          <w:rFonts w:cs="Arial"/>
          <w:lang w:eastAsia="en-GB"/>
        </w:rPr>
        <w:t xml:space="preserve"> and will</w:t>
      </w:r>
      <w:r w:rsidR="00A12FAD" w:rsidRPr="004D43F7">
        <w:rPr>
          <w:rFonts w:cs="Arial"/>
          <w:lang w:eastAsia="en-GB"/>
        </w:rPr>
        <w:t xml:space="preserve"> focus on addressing matters raised in the Appellant’s statement of case</w:t>
      </w:r>
      <w:r w:rsidR="00A71B33" w:rsidRPr="004D43F7">
        <w:rPr>
          <w:rFonts w:cs="Arial"/>
          <w:lang w:eastAsia="en-GB"/>
        </w:rPr>
        <w:t>.</w:t>
      </w:r>
      <w:r w:rsidR="00E1104F">
        <w:rPr>
          <w:rFonts w:cs="Arial"/>
          <w:lang w:eastAsia="en-GB"/>
        </w:rPr>
        <w:t xml:space="preserve"> This statement and the appellants SOC </w:t>
      </w:r>
      <w:r w:rsidR="00B53F59">
        <w:rPr>
          <w:rFonts w:cs="Arial"/>
          <w:lang w:eastAsia="en-GB"/>
        </w:rPr>
        <w:t>refer</w:t>
      </w:r>
      <w:r w:rsidR="00E1104F">
        <w:rPr>
          <w:rFonts w:cs="Arial"/>
          <w:lang w:eastAsia="en-GB"/>
        </w:rPr>
        <w:t xml:space="preserve"> to </w:t>
      </w:r>
      <w:r w:rsidR="000054BB">
        <w:rPr>
          <w:rFonts w:cs="Arial"/>
          <w:lang w:eastAsia="en-GB"/>
        </w:rPr>
        <w:t>the previous dismissed relating to</w:t>
      </w:r>
      <w:r w:rsidR="000F4AF9">
        <w:rPr>
          <w:rFonts w:cs="Arial"/>
          <w:lang w:eastAsia="en-GB"/>
        </w:rPr>
        <w:t xml:space="preserve"> use of the outbuildings as annex accommodation</w:t>
      </w:r>
      <w:r w:rsidR="00B53F59">
        <w:rPr>
          <w:rFonts w:cs="Arial"/>
          <w:lang w:eastAsia="en-GB"/>
        </w:rPr>
        <w:t xml:space="preserve"> (</w:t>
      </w:r>
      <w:r w:rsidR="00B53F59" w:rsidRPr="00D317BA">
        <w:t>APP/R5510/W/25/3371435</w:t>
      </w:r>
      <w:r w:rsidR="00B53F59">
        <w:t>)</w:t>
      </w:r>
      <w:r w:rsidR="000F4AF9">
        <w:rPr>
          <w:rFonts w:cs="Arial"/>
          <w:lang w:eastAsia="en-GB"/>
        </w:rPr>
        <w:t xml:space="preserve">, which is of significant relevance to the appeal </w:t>
      </w:r>
      <w:r w:rsidR="0095627D">
        <w:rPr>
          <w:rFonts w:cs="Arial"/>
          <w:lang w:eastAsia="en-GB"/>
        </w:rPr>
        <w:t xml:space="preserve">as included in full at Appendix 2. </w:t>
      </w:r>
    </w:p>
    <w:p w14:paraId="750FF966" w14:textId="77777777" w:rsidR="00E4040C" w:rsidRDefault="00E4040C" w:rsidP="00A12FAD">
      <w:pPr>
        <w:tabs>
          <w:tab w:val="left" w:pos="567"/>
        </w:tabs>
        <w:autoSpaceDE w:val="0"/>
        <w:autoSpaceDN w:val="0"/>
        <w:adjustRightInd w:val="0"/>
        <w:ind w:left="567" w:hanging="567"/>
        <w:rPr>
          <w:rFonts w:cs="Arial"/>
          <w:lang w:eastAsia="en-GB"/>
        </w:rPr>
      </w:pPr>
    </w:p>
    <w:p w14:paraId="00DFA742" w14:textId="4AAE8A55" w:rsidR="00E4040C" w:rsidRDefault="00E4040C" w:rsidP="00A12FAD">
      <w:pPr>
        <w:tabs>
          <w:tab w:val="left" w:pos="567"/>
        </w:tabs>
        <w:autoSpaceDE w:val="0"/>
        <w:autoSpaceDN w:val="0"/>
        <w:adjustRightInd w:val="0"/>
        <w:ind w:left="567" w:hanging="567"/>
        <w:rPr>
          <w:rFonts w:cs="Arial"/>
          <w:lang w:eastAsia="en-GB"/>
        </w:rPr>
      </w:pPr>
      <w:r>
        <w:rPr>
          <w:rFonts w:cs="Arial"/>
          <w:lang w:eastAsia="en-GB"/>
        </w:rPr>
        <w:t>1.</w:t>
      </w:r>
      <w:r w:rsidR="009A1524">
        <w:rPr>
          <w:rFonts w:cs="Arial"/>
          <w:lang w:eastAsia="en-GB"/>
        </w:rPr>
        <w:t>4</w:t>
      </w:r>
      <w:r>
        <w:rPr>
          <w:rFonts w:cs="Arial"/>
          <w:lang w:eastAsia="en-GB"/>
        </w:rPr>
        <w:tab/>
        <w:t>The main points raised within the appellant's statement of case are as follows:</w:t>
      </w:r>
    </w:p>
    <w:p w14:paraId="1F20435B" w14:textId="77777777" w:rsidR="00E4040C" w:rsidRDefault="00E4040C" w:rsidP="00A12FAD">
      <w:pPr>
        <w:tabs>
          <w:tab w:val="left" w:pos="567"/>
        </w:tabs>
        <w:autoSpaceDE w:val="0"/>
        <w:autoSpaceDN w:val="0"/>
        <w:adjustRightInd w:val="0"/>
        <w:ind w:left="567" w:hanging="567"/>
        <w:rPr>
          <w:rFonts w:cs="Arial"/>
          <w:lang w:eastAsia="en-GB"/>
        </w:rPr>
      </w:pPr>
    </w:p>
    <w:p w14:paraId="0586D240" w14:textId="0CBF60E5" w:rsidR="007F6F55" w:rsidRDefault="007F6F55">
      <w:pPr>
        <w:numPr>
          <w:ilvl w:val="0"/>
          <w:numId w:val="2"/>
        </w:numPr>
        <w:tabs>
          <w:tab w:val="left" w:pos="567"/>
        </w:tabs>
        <w:autoSpaceDE w:val="0"/>
        <w:autoSpaceDN w:val="0"/>
        <w:adjustRightInd w:val="0"/>
        <w:rPr>
          <w:rFonts w:cs="Arial"/>
          <w:lang w:eastAsia="en-GB"/>
        </w:rPr>
      </w:pPr>
      <w:r>
        <w:rPr>
          <w:rFonts w:cs="Arial"/>
          <w:lang w:eastAsia="en-GB"/>
        </w:rPr>
        <w:t xml:space="preserve">Self-contained nature of the residential units. </w:t>
      </w:r>
    </w:p>
    <w:p w14:paraId="70F1A3E1" w14:textId="61D621D6" w:rsidR="003C0BA0" w:rsidRDefault="003C0BA0" w:rsidP="003C0BA0">
      <w:pPr>
        <w:tabs>
          <w:tab w:val="left" w:pos="567"/>
        </w:tabs>
        <w:autoSpaceDE w:val="0"/>
        <w:autoSpaceDN w:val="0"/>
        <w:adjustRightInd w:val="0"/>
        <w:ind w:left="720"/>
        <w:rPr>
          <w:rFonts w:cs="Arial"/>
          <w:lang w:eastAsia="en-GB"/>
        </w:rPr>
      </w:pPr>
    </w:p>
    <w:p w14:paraId="2D8CF80C" w14:textId="3BA32B34" w:rsidR="003C0BA0" w:rsidRDefault="003C0BA0">
      <w:pPr>
        <w:numPr>
          <w:ilvl w:val="0"/>
          <w:numId w:val="2"/>
        </w:numPr>
        <w:tabs>
          <w:tab w:val="left" w:pos="567"/>
        </w:tabs>
        <w:autoSpaceDE w:val="0"/>
        <w:autoSpaceDN w:val="0"/>
        <w:adjustRightInd w:val="0"/>
        <w:rPr>
          <w:rFonts w:cs="Arial"/>
          <w:lang w:eastAsia="en-GB"/>
        </w:rPr>
      </w:pPr>
      <w:r>
        <w:rPr>
          <w:rFonts w:cs="Arial"/>
          <w:lang w:eastAsia="en-GB"/>
        </w:rPr>
        <w:t xml:space="preserve">Impact on character and amenity of the area. </w:t>
      </w:r>
    </w:p>
    <w:p w14:paraId="227EA47C" w14:textId="77777777" w:rsidR="000B00D5" w:rsidRDefault="000B00D5" w:rsidP="000B00D5">
      <w:pPr>
        <w:pStyle w:val="ListParagraph"/>
        <w:rPr>
          <w:rFonts w:cs="Arial"/>
          <w:lang w:eastAsia="en-GB"/>
        </w:rPr>
      </w:pPr>
    </w:p>
    <w:p w14:paraId="5E168F27" w14:textId="4A798570" w:rsidR="000B00D5" w:rsidRDefault="000B00D5">
      <w:pPr>
        <w:numPr>
          <w:ilvl w:val="0"/>
          <w:numId w:val="2"/>
        </w:numPr>
        <w:tabs>
          <w:tab w:val="left" w:pos="567"/>
        </w:tabs>
        <w:autoSpaceDE w:val="0"/>
        <w:autoSpaceDN w:val="0"/>
        <w:adjustRightInd w:val="0"/>
        <w:rPr>
          <w:rFonts w:cs="Arial"/>
          <w:lang w:eastAsia="en-GB"/>
        </w:rPr>
      </w:pPr>
      <w:r>
        <w:rPr>
          <w:rFonts w:cs="Arial"/>
          <w:lang w:eastAsia="en-GB"/>
        </w:rPr>
        <w:t xml:space="preserve">Impact on Residential Amenity </w:t>
      </w:r>
    </w:p>
    <w:p w14:paraId="294DC2BB" w14:textId="77777777" w:rsidR="003C0BA0" w:rsidRDefault="003C0BA0" w:rsidP="003C0BA0">
      <w:pPr>
        <w:pStyle w:val="ListParagraph"/>
        <w:rPr>
          <w:rFonts w:cs="Arial"/>
          <w:lang w:eastAsia="en-GB"/>
        </w:rPr>
      </w:pPr>
    </w:p>
    <w:p w14:paraId="6057F48E" w14:textId="42A6740B" w:rsidR="003C0BA0" w:rsidRDefault="00B312FA">
      <w:pPr>
        <w:numPr>
          <w:ilvl w:val="0"/>
          <w:numId w:val="2"/>
        </w:numPr>
        <w:tabs>
          <w:tab w:val="left" w:pos="567"/>
        </w:tabs>
        <w:autoSpaceDE w:val="0"/>
        <w:autoSpaceDN w:val="0"/>
        <w:adjustRightInd w:val="0"/>
        <w:rPr>
          <w:rFonts w:cs="Arial"/>
          <w:lang w:eastAsia="en-GB"/>
        </w:rPr>
      </w:pPr>
      <w:r>
        <w:rPr>
          <w:rFonts w:cs="Arial"/>
          <w:lang w:eastAsia="en-GB"/>
        </w:rPr>
        <w:t xml:space="preserve">Displacement of vehicles onto the public highway. </w:t>
      </w:r>
    </w:p>
    <w:p w14:paraId="637F1413" w14:textId="77777777" w:rsidR="003C0BA0" w:rsidRPr="003C0BA0" w:rsidRDefault="003C0BA0" w:rsidP="003C0BA0">
      <w:pPr>
        <w:tabs>
          <w:tab w:val="left" w:pos="567"/>
        </w:tabs>
        <w:autoSpaceDE w:val="0"/>
        <w:autoSpaceDN w:val="0"/>
        <w:adjustRightInd w:val="0"/>
        <w:ind w:left="360"/>
        <w:rPr>
          <w:rFonts w:cs="Arial"/>
          <w:lang w:eastAsia="en-GB"/>
        </w:rPr>
      </w:pPr>
    </w:p>
    <w:p w14:paraId="2A24E178" w14:textId="77777777" w:rsidR="009A1524" w:rsidRDefault="009A1524" w:rsidP="009A1524">
      <w:pPr>
        <w:tabs>
          <w:tab w:val="left" w:pos="567"/>
        </w:tabs>
        <w:autoSpaceDE w:val="0"/>
        <w:autoSpaceDN w:val="0"/>
        <w:adjustRightInd w:val="0"/>
        <w:ind w:left="360"/>
        <w:rPr>
          <w:rFonts w:cs="Arial"/>
          <w:lang w:eastAsia="en-GB"/>
        </w:rPr>
      </w:pPr>
    </w:p>
    <w:p w14:paraId="3CDD449E" w14:textId="337F09B5" w:rsidR="002B0656" w:rsidRDefault="005C25B9" w:rsidP="003B6E13">
      <w:pPr>
        <w:tabs>
          <w:tab w:val="left" w:pos="567"/>
        </w:tabs>
        <w:autoSpaceDE w:val="0"/>
        <w:autoSpaceDN w:val="0"/>
        <w:adjustRightInd w:val="0"/>
        <w:ind w:left="567" w:hanging="283"/>
        <w:rPr>
          <w:rFonts w:cs="Arial"/>
          <w:lang w:eastAsia="en-GB"/>
        </w:rPr>
      </w:pPr>
      <w:r>
        <w:rPr>
          <w:rFonts w:cs="Arial"/>
          <w:lang w:eastAsia="en-GB"/>
        </w:rPr>
        <w:lastRenderedPageBreak/>
        <w:t>1.</w:t>
      </w:r>
      <w:r w:rsidR="009A1524">
        <w:rPr>
          <w:rFonts w:cs="Arial"/>
          <w:lang w:eastAsia="en-GB"/>
        </w:rPr>
        <w:t>5</w:t>
      </w:r>
      <w:r>
        <w:rPr>
          <w:rFonts w:cs="Arial"/>
          <w:lang w:eastAsia="en-GB"/>
        </w:rPr>
        <w:t xml:space="preserve"> Each</w:t>
      </w:r>
      <w:r w:rsidR="002B0656">
        <w:rPr>
          <w:rFonts w:cs="Arial"/>
          <w:lang w:eastAsia="en-GB"/>
        </w:rPr>
        <w:t xml:space="preserve"> of the above points will be addressed</w:t>
      </w:r>
      <w:r w:rsidR="00F71876">
        <w:rPr>
          <w:rFonts w:cs="Arial"/>
          <w:lang w:eastAsia="en-GB"/>
        </w:rPr>
        <w:t xml:space="preserve"> below</w:t>
      </w:r>
      <w:r w:rsidR="002B0656">
        <w:rPr>
          <w:rFonts w:cs="Arial"/>
          <w:lang w:eastAsia="en-GB"/>
        </w:rPr>
        <w:t xml:space="preserve"> within </w:t>
      </w:r>
      <w:r w:rsidR="00742FF6">
        <w:rPr>
          <w:rFonts w:cs="Arial"/>
          <w:lang w:eastAsia="en-GB"/>
        </w:rPr>
        <w:t>S</w:t>
      </w:r>
      <w:r w:rsidR="002B0656">
        <w:rPr>
          <w:rFonts w:cs="Arial"/>
          <w:lang w:eastAsia="en-GB"/>
        </w:rPr>
        <w:t xml:space="preserve">ection 2 of this SOC. </w:t>
      </w:r>
    </w:p>
    <w:p w14:paraId="0F9E32C6" w14:textId="77777777" w:rsidR="00A12FAD" w:rsidRPr="00C76C55" w:rsidRDefault="00964597" w:rsidP="00A12FAD">
      <w:pPr>
        <w:tabs>
          <w:tab w:val="left" w:pos="567"/>
        </w:tabs>
        <w:autoSpaceDE w:val="0"/>
        <w:autoSpaceDN w:val="0"/>
        <w:adjustRightInd w:val="0"/>
        <w:ind w:left="567" w:hanging="567"/>
        <w:rPr>
          <w:rFonts w:cs="Arial"/>
          <w:lang w:eastAsia="en-GB"/>
        </w:rPr>
      </w:pPr>
      <w:r>
        <w:rPr>
          <w:rFonts w:cs="Arial"/>
          <w:lang w:eastAsia="en-GB"/>
        </w:rPr>
        <w:t xml:space="preserve">  </w:t>
      </w:r>
    </w:p>
    <w:p w14:paraId="430E9372" w14:textId="77777777" w:rsidR="00A12FAD" w:rsidRPr="00C76C55" w:rsidRDefault="00A12FAD" w:rsidP="00A12FAD">
      <w:pPr>
        <w:tabs>
          <w:tab w:val="left" w:pos="567"/>
        </w:tabs>
        <w:autoSpaceDE w:val="0"/>
        <w:autoSpaceDN w:val="0"/>
        <w:adjustRightInd w:val="0"/>
        <w:ind w:left="567" w:hanging="567"/>
        <w:rPr>
          <w:rFonts w:cs="Arial"/>
          <w:lang w:eastAsia="en-GB"/>
        </w:rPr>
      </w:pPr>
    </w:p>
    <w:p w14:paraId="213B5B20" w14:textId="77777777" w:rsidR="00A12FAD" w:rsidRPr="00C76C55" w:rsidRDefault="00A12FAD" w:rsidP="00A12FAD">
      <w:pPr>
        <w:tabs>
          <w:tab w:val="left" w:pos="567"/>
          <w:tab w:val="left" w:pos="3765"/>
        </w:tabs>
        <w:rPr>
          <w:rFonts w:cs="Arial"/>
          <w:b/>
          <w:bCs/>
          <w:sz w:val="36"/>
          <w:szCs w:val="36"/>
          <w:lang w:eastAsia="en-GB"/>
        </w:rPr>
      </w:pPr>
      <w:r w:rsidRPr="00C76C55">
        <w:rPr>
          <w:rFonts w:cs="Arial"/>
          <w:b/>
          <w:bCs/>
          <w:sz w:val="36"/>
          <w:szCs w:val="36"/>
          <w:lang w:eastAsia="en-GB"/>
        </w:rPr>
        <w:t>2.</w:t>
      </w:r>
      <w:r w:rsidRPr="00C76C55">
        <w:rPr>
          <w:rFonts w:cs="Arial"/>
          <w:b/>
          <w:bCs/>
          <w:sz w:val="36"/>
          <w:szCs w:val="36"/>
          <w:lang w:eastAsia="en-GB"/>
        </w:rPr>
        <w:tab/>
      </w:r>
      <w:r w:rsidR="005B3CE2" w:rsidRPr="00C76C55">
        <w:rPr>
          <w:rFonts w:cs="Arial"/>
          <w:b/>
          <w:bCs/>
          <w:sz w:val="36"/>
          <w:szCs w:val="36"/>
          <w:lang w:eastAsia="en-GB"/>
        </w:rPr>
        <w:t xml:space="preserve">LPA </w:t>
      </w:r>
      <w:r w:rsidRPr="00C76C55">
        <w:rPr>
          <w:rFonts w:cs="Arial"/>
          <w:b/>
          <w:bCs/>
          <w:sz w:val="36"/>
          <w:szCs w:val="36"/>
          <w:lang w:eastAsia="en-GB"/>
        </w:rPr>
        <w:t xml:space="preserve">Comments on Appellant’s Statement </w:t>
      </w:r>
      <w:r w:rsidR="00A6402D">
        <w:rPr>
          <w:rFonts w:cs="Arial"/>
          <w:b/>
          <w:bCs/>
          <w:sz w:val="36"/>
          <w:szCs w:val="36"/>
          <w:lang w:eastAsia="en-GB"/>
        </w:rPr>
        <w:t>of Case</w:t>
      </w:r>
    </w:p>
    <w:p w14:paraId="7D23A4E0" w14:textId="77777777" w:rsidR="002B0656" w:rsidRDefault="002B0656" w:rsidP="002B0656">
      <w:pPr>
        <w:tabs>
          <w:tab w:val="left" w:pos="567"/>
        </w:tabs>
        <w:autoSpaceDE w:val="0"/>
        <w:autoSpaceDN w:val="0"/>
        <w:adjustRightInd w:val="0"/>
        <w:rPr>
          <w:rFonts w:cs="Arial"/>
          <w:b/>
          <w:bCs/>
          <w:lang w:eastAsia="en-GB"/>
        </w:rPr>
      </w:pPr>
    </w:p>
    <w:p w14:paraId="51AC1033" w14:textId="4D511E2D" w:rsidR="002B0656" w:rsidRDefault="00031CD7" w:rsidP="002B0656">
      <w:pPr>
        <w:tabs>
          <w:tab w:val="left" w:pos="567"/>
        </w:tabs>
        <w:autoSpaceDE w:val="0"/>
        <w:autoSpaceDN w:val="0"/>
        <w:adjustRightInd w:val="0"/>
        <w:rPr>
          <w:rFonts w:cs="Arial"/>
          <w:u w:val="single"/>
          <w:lang w:eastAsia="en-GB"/>
        </w:rPr>
      </w:pPr>
      <w:r>
        <w:rPr>
          <w:rFonts w:cs="Arial"/>
          <w:u w:val="single"/>
          <w:lang w:eastAsia="en-GB"/>
        </w:rPr>
        <w:t xml:space="preserve">Principle of Development </w:t>
      </w:r>
      <w:r w:rsidR="00BD164E">
        <w:rPr>
          <w:rFonts w:cs="Arial"/>
          <w:u w:val="single"/>
          <w:lang w:eastAsia="en-GB"/>
        </w:rPr>
        <w:t xml:space="preserve">and Self-contained Nature of Buildings </w:t>
      </w:r>
    </w:p>
    <w:p w14:paraId="339977E2" w14:textId="77777777" w:rsidR="009A1524" w:rsidRDefault="009A1524" w:rsidP="002B0656">
      <w:pPr>
        <w:tabs>
          <w:tab w:val="left" w:pos="567"/>
        </w:tabs>
        <w:autoSpaceDE w:val="0"/>
        <w:autoSpaceDN w:val="0"/>
        <w:adjustRightInd w:val="0"/>
        <w:rPr>
          <w:rFonts w:cs="Arial"/>
          <w:lang w:eastAsia="en-GB"/>
        </w:rPr>
      </w:pPr>
    </w:p>
    <w:p w14:paraId="78814780" w14:textId="24459512" w:rsidR="00144BF2" w:rsidRDefault="003E00EC" w:rsidP="00144BF2">
      <w:pPr>
        <w:tabs>
          <w:tab w:val="left" w:pos="567"/>
        </w:tabs>
        <w:autoSpaceDE w:val="0"/>
        <w:autoSpaceDN w:val="0"/>
        <w:adjustRightInd w:val="0"/>
        <w:ind w:left="567" w:hanging="567"/>
        <w:rPr>
          <w:rFonts w:cs="Arial"/>
          <w:lang w:eastAsia="en-GB"/>
        </w:rPr>
      </w:pPr>
      <w:r>
        <w:rPr>
          <w:rFonts w:cs="Arial"/>
          <w:lang w:eastAsia="en-GB"/>
        </w:rPr>
        <w:t>2.</w:t>
      </w:r>
      <w:r w:rsidR="00C602E3">
        <w:rPr>
          <w:rFonts w:cs="Arial"/>
          <w:lang w:eastAsia="en-GB"/>
        </w:rPr>
        <w:t>1</w:t>
      </w:r>
      <w:r>
        <w:rPr>
          <w:rFonts w:cs="Arial"/>
          <w:lang w:eastAsia="en-GB"/>
        </w:rPr>
        <w:tab/>
      </w:r>
      <w:r w:rsidR="002F5367">
        <w:rPr>
          <w:rFonts w:cs="Arial"/>
          <w:lang w:eastAsia="en-GB"/>
        </w:rPr>
        <w:t xml:space="preserve">The appellant within their SOC </w:t>
      </w:r>
      <w:r w:rsidR="003E6BE2">
        <w:rPr>
          <w:rFonts w:cs="Arial"/>
          <w:lang w:eastAsia="en-GB"/>
        </w:rPr>
        <w:t xml:space="preserve">indicates that the outbuildings would remain fully integrated with the </w:t>
      </w:r>
      <w:r w:rsidR="005F5F6E">
        <w:rPr>
          <w:rFonts w:cs="Arial"/>
          <w:lang w:eastAsia="en-GB"/>
        </w:rPr>
        <w:t xml:space="preserve">host dwellings and share </w:t>
      </w:r>
      <w:r w:rsidR="005F5F6E" w:rsidRPr="005F5F6E">
        <w:rPr>
          <w:rFonts w:cs="Arial"/>
          <w:lang w:eastAsia="en-GB"/>
        </w:rPr>
        <w:t xml:space="preserve">access, garden space and utilities, and there is no subdivision of land, no separate postal address </w:t>
      </w:r>
      <w:r w:rsidR="003F7A32">
        <w:rPr>
          <w:rFonts w:cs="Arial"/>
          <w:lang w:eastAsia="en-GB"/>
        </w:rPr>
        <w:t>or</w:t>
      </w:r>
      <w:r w:rsidR="005F5F6E" w:rsidRPr="005F5F6E">
        <w:rPr>
          <w:rFonts w:cs="Arial"/>
          <w:lang w:eastAsia="en-GB"/>
        </w:rPr>
        <w:t xml:space="preserve"> independent services. </w:t>
      </w:r>
      <w:r w:rsidR="00677D6D">
        <w:rPr>
          <w:rFonts w:cs="Arial"/>
          <w:lang w:eastAsia="en-GB"/>
        </w:rPr>
        <w:t xml:space="preserve">However, as noted in the officers report </w:t>
      </w:r>
      <w:r w:rsidR="0030671F" w:rsidRPr="0030671F">
        <w:rPr>
          <w:rFonts w:cs="Arial"/>
          <w:lang w:eastAsia="en-GB"/>
        </w:rPr>
        <w:t xml:space="preserve">the outbuildings can be independently accessed to the side of </w:t>
      </w:r>
      <w:r w:rsidR="0030671F">
        <w:rPr>
          <w:rFonts w:cs="Arial"/>
          <w:lang w:eastAsia="en-GB"/>
        </w:rPr>
        <w:t>either 18 or 20 Wilmar Close</w:t>
      </w:r>
      <w:r w:rsidR="00DA04D0">
        <w:rPr>
          <w:rFonts w:cs="Arial"/>
          <w:lang w:eastAsia="en-GB"/>
        </w:rPr>
        <w:t xml:space="preserve"> and are therefore capable of use independent to the use of either host dwelling. </w:t>
      </w:r>
      <w:r w:rsidR="00144BF2">
        <w:rPr>
          <w:rFonts w:cs="Arial"/>
          <w:lang w:eastAsia="en-GB"/>
        </w:rPr>
        <w:t xml:space="preserve">In relation to this matter the previous appeal inspector </w:t>
      </w:r>
      <w:r w:rsidR="00401268">
        <w:rPr>
          <w:rFonts w:cs="Arial"/>
          <w:lang w:eastAsia="en-GB"/>
        </w:rPr>
        <w:t>commented that</w:t>
      </w:r>
      <w:r w:rsidR="00BE5014">
        <w:rPr>
          <w:rFonts w:cs="Arial"/>
          <w:lang w:eastAsia="en-GB"/>
        </w:rPr>
        <w:t xml:space="preserve">: </w:t>
      </w:r>
    </w:p>
    <w:p w14:paraId="450B3AF7" w14:textId="77777777" w:rsidR="00144BF2" w:rsidRDefault="00144BF2" w:rsidP="00144BF2">
      <w:pPr>
        <w:tabs>
          <w:tab w:val="left" w:pos="567"/>
        </w:tabs>
        <w:autoSpaceDE w:val="0"/>
        <w:autoSpaceDN w:val="0"/>
        <w:adjustRightInd w:val="0"/>
        <w:ind w:left="567" w:hanging="567"/>
        <w:rPr>
          <w:rFonts w:cs="Arial"/>
          <w:lang w:eastAsia="en-GB"/>
        </w:rPr>
      </w:pPr>
    </w:p>
    <w:p w14:paraId="4B4C84ED" w14:textId="12A0FCB4" w:rsidR="002F5367" w:rsidRDefault="00144BF2" w:rsidP="00144BF2">
      <w:pPr>
        <w:tabs>
          <w:tab w:val="left" w:pos="567"/>
        </w:tabs>
        <w:autoSpaceDE w:val="0"/>
        <w:autoSpaceDN w:val="0"/>
        <w:adjustRightInd w:val="0"/>
        <w:ind w:left="567"/>
        <w:rPr>
          <w:rFonts w:cs="Arial"/>
          <w:i/>
          <w:iCs/>
          <w:lang w:eastAsia="en-GB"/>
        </w:rPr>
      </w:pPr>
      <w:r w:rsidRPr="00144BF2">
        <w:rPr>
          <w:rFonts w:cs="Arial"/>
          <w:i/>
          <w:iCs/>
          <w:lang w:eastAsia="en-GB"/>
        </w:rPr>
        <w:t xml:space="preserve">In terms of physical arrangements, side entrances to the rear gardens at each of the houses would permit unimpeded street access to both annexes. The outbuildings are set some distance away from the rear of the houses. The plans show the proposed annexes would each feature a bathroom with a WC and shower, a kitchenette, an open plan living area and a double bed. Therefore, the layout would include primary living accommodation, and each annexe would provide the basic facilities required for day-to-day private living despite a relatively constrained layout. </w:t>
      </w:r>
      <w:r w:rsidR="0030671F" w:rsidRPr="00144BF2">
        <w:rPr>
          <w:rFonts w:cs="Arial"/>
          <w:i/>
          <w:iCs/>
          <w:lang w:eastAsia="en-GB"/>
        </w:rPr>
        <w:t xml:space="preserve"> </w:t>
      </w:r>
    </w:p>
    <w:p w14:paraId="6ACF6E3E" w14:textId="77777777" w:rsidR="00144BF2" w:rsidRDefault="00144BF2" w:rsidP="00C602E3">
      <w:pPr>
        <w:tabs>
          <w:tab w:val="left" w:pos="567"/>
        </w:tabs>
        <w:autoSpaceDE w:val="0"/>
        <w:autoSpaceDN w:val="0"/>
        <w:adjustRightInd w:val="0"/>
        <w:rPr>
          <w:rFonts w:cs="Arial"/>
          <w:i/>
          <w:iCs/>
          <w:lang w:eastAsia="en-GB"/>
        </w:rPr>
      </w:pPr>
    </w:p>
    <w:p w14:paraId="14426FCF" w14:textId="561229CB" w:rsidR="008A5D9C" w:rsidRDefault="00C602E3" w:rsidP="000B478D">
      <w:pPr>
        <w:tabs>
          <w:tab w:val="left" w:pos="567"/>
        </w:tabs>
        <w:autoSpaceDE w:val="0"/>
        <w:autoSpaceDN w:val="0"/>
        <w:adjustRightInd w:val="0"/>
        <w:ind w:left="426" w:hanging="426"/>
        <w:rPr>
          <w:rFonts w:cs="Arial"/>
          <w:lang w:eastAsia="en-GB"/>
        </w:rPr>
      </w:pPr>
      <w:r>
        <w:rPr>
          <w:rFonts w:cs="Arial"/>
          <w:lang w:eastAsia="en-GB"/>
        </w:rPr>
        <w:t xml:space="preserve">2.2 </w:t>
      </w:r>
      <w:r w:rsidR="008A5D9C">
        <w:rPr>
          <w:rFonts w:cs="Arial"/>
          <w:lang w:eastAsia="en-GB"/>
        </w:rPr>
        <w:t xml:space="preserve">The </w:t>
      </w:r>
      <w:r w:rsidR="00401268">
        <w:rPr>
          <w:rFonts w:cs="Arial"/>
          <w:lang w:eastAsia="en-GB"/>
        </w:rPr>
        <w:t xml:space="preserve">appellants </w:t>
      </w:r>
      <w:r w:rsidR="008A5D9C">
        <w:rPr>
          <w:rFonts w:cs="Arial"/>
          <w:lang w:eastAsia="en-GB"/>
        </w:rPr>
        <w:t xml:space="preserve">SOC outlines </w:t>
      </w:r>
      <w:r w:rsidR="000B478D">
        <w:rPr>
          <w:rFonts w:cs="Arial"/>
          <w:lang w:eastAsia="en-GB"/>
        </w:rPr>
        <w:t xml:space="preserve">that: </w:t>
      </w:r>
      <w:r w:rsidR="000B478D" w:rsidRPr="008A5D9C">
        <w:rPr>
          <w:rFonts w:cs="Arial"/>
          <w:lang w:eastAsia="en-GB"/>
        </w:rPr>
        <w:t>the</w:t>
      </w:r>
      <w:r w:rsidR="008A5D9C" w:rsidRPr="008A5D9C">
        <w:rPr>
          <w:rFonts w:cs="Arial"/>
          <w:lang w:eastAsia="en-GB"/>
        </w:rPr>
        <w:t xml:space="preserve"> intended occupation pattern is documented through statutory declarations: </w:t>
      </w:r>
      <w:r w:rsidR="00F669B8">
        <w:rPr>
          <w:rFonts w:cs="Arial"/>
          <w:lang w:eastAsia="en-GB"/>
        </w:rPr>
        <w:t>“</w:t>
      </w:r>
      <w:r w:rsidR="008A5D9C" w:rsidRPr="00F669B8">
        <w:rPr>
          <w:rFonts w:cs="Arial"/>
          <w:i/>
          <w:iCs/>
          <w:lang w:eastAsia="en-GB"/>
        </w:rPr>
        <w:t>the two brothers will occupy the main houses with their families, while their elderly parents who have documented mobility and health needs will occupy the outbuildings. This arrangement forms a single, interdependent household in which the occupants rely on the main dwellings for daily support, meals and domestic activity</w:t>
      </w:r>
      <w:r w:rsidR="00F669B8">
        <w:rPr>
          <w:rFonts w:cs="Arial"/>
          <w:i/>
          <w:iCs/>
          <w:lang w:eastAsia="en-GB"/>
        </w:rPr>
        <w:t>”</w:t>
      </w:r>
      <w:r w:rsidR="008A5D9C" w:rsidRPr="00F669B8">
        <w:rPr>
          <w:rFonts w:cs="Arial"/>
          <w:i/>
          <w:iCs/>
          <w:lang w:eastAsia="en-GB"/>
        </w:rPr>
        <w:t>.</w:t>
      </w:r>
      <w:r w:rsidR="008A5D9C" w:rsidRPr="008A5D9C">
        <w:rPr>
          <w:rFonts w:cs="Arial"/>
          <w:lang w:eastAsia="en-GB"/>
        </w:rPr>
        <w:t xml:space="preserve"> </w:t>
      </w:r>
    </w:p>
    <w:p w14:paraId="53677F02" w14:textId="77777777" w:rsidR="000B478D" w:rsidRDefault="000B478D" w:rsidP="000B478D">
      <w:pPr>
        <w:tabs>
          <w:tab w:val="left" w:pos="567"/>
        </w:tabs>
        <w:autoSpaceDE w:val="0"/>
        <w:autoSpaceDN w:val="0"/>
        <w:adjustRightInd w:val="0"/>
        <w:ind w:left="426" w:hanging="426"/>
        <w:rPr>
          <w:rFonts w:cs="Arial"/>
          <w:lang w:eastAsia="en-GB"/>
        </w:rPr>
      </w:pPr>
    </w:p>
    <w:p w14:paraId="6B163079" w14:textId="11DA2A97" w:rsidR="0079068E" w:rsidRDefault="000B478D" w:rsidP="0079068E">
      <w:pPr>
        <w:tabs>
          <w:tab w:val="left" w:pos="567"/>
        </w:tabs>
        <w:autoSpaceDE w:val="0"/>
        <w:autoSpaceDN w:val="0"/>
        <w:adjustRightInd w:val="0"/>
        <w:ind w:left="426" w:hanging="426"/>
        <w:rPr>
          <w:rFonts w:cs="Arial"/>
          <w:lang w:eastAsia="en-GB"/>
        </w:rPr>
      </w:pPr>
      <w:r>
        <w:rPr>
          <w:rFonts w:cs="Arial"/>
          <w:lang w:eastAsia="en-GB"/>
        </w:rPr>
        <w:t xml:space="preserve">2.3 </w:t>
      </w:r>
      <w:r w:rsidR="0079068E">
        <w:rPr>
          <w:rFonts w:cs="Arial"/>
          <w:lang w:eastAsia="en-GB"/>
        </w:rPr>
        <w:t xml:space="preserve">As noted in the officers delegated report </w:t>
      </w:r>
      <w:r w:rsidR="009677D5">
        <w:rPr>
          <w:rFonts w:cs="Arial"/>
          <w:lang w:eastAsia="en-GB"/>
        </w:rPr>
        <w:t>d</w:t>
      </w:r>
      <w:r w:rsidR="001D16B2" w:rsidRPr="0079068E">
        <w:rPr>
          <w:rFonts w:cs="Arial"/>
          <w:lang w:eastAsia="en-GB"/>
        </w:rPr>
        <w:t>uring</w:t>
      </w:r>
      <w:r w:rsidR="0079068E" w:rsidRPr="0079068E">
        <w:rPr>
          <w:rFonts w:cs="Arial"/>
          <w:lang w:eastAsia="en-GB"/>
        </w:rPr>
        <w:t xml:space="preserve"> the process relating to </w:t>
      </w:r>
      <w:r w:rsidR="009677D5">
        <w:rPr>
          <w:rFonts w:cs="Arial"/>
          <w:lang w:eastAsia="en-GB"/>
        </w:rPr>
        <w:t>the</w:t>
      </w:r>
      <w:r w:rsidR="0079068E" w:rsidRPr="0079068E">
        <w:rPr>
          <w:rFonts w:cs="Arial"/>
          <w:lang w:eastAsia="en-GB"/>
        </w:rPr>
        <w:t xml:space="preserve"> previous planning application on the site</w:t>
      </w:r>
      <w:r w:rsidR="009431F3">
        <w:rPr>
          <w:rFonts w:cs="Arial"/>
          <w:lang w:eastAsia="en-GB"/>
        </w:rPr>
        <w:t xml:space="preserve"> (</w:t>
      </w:r>
      <w:r w:rsidR="009431F3" w:rsidRPr="009431F3">
        <w:rPr>
          <w:rFonts w:cs="Arial"/>
          <w:lang w:eastAsia="en-GB"/>
        </w:rPr>
        <w:t>67410/APP/2024/2641</w:t>
      </w:r>
      <w:r w:rsidR="009431F3">
        <w:rPr>
          <w:rFonts w:cs="Arial"/>
          <w:lang w:eastAsia="en-GB"/>
        </w:rPr>
        <w:t>)</w:t>
      </w:r>
      <w:r w:rsidR="0079068E" w:rsidRPr="0079068E">
        <w:rPr>
          <w:rFonts w:cs="Arial"/>
          <w:lang w:eastAsia="en-GB"/>
        </w:rPr>
        <w:t xml:space="preserve">, the applicant provided statutory declarations which stated that the applicant and his brother would be occupying the properties and that the accommodation would be used for their parents. A Section 21 Notice was provided indicating that notice had been served on the tenants letting the property it was indicated that the applicant and his brother would be occupying the property from June </w:t>
      </w:r>
      <w:r w:rsidR="009431F3" w:rsidRPr="0079068E">
        <w:rPr>
          <w:rFonts w:cs="Arial"/>
          <w:lang w:eastAsia="en-GB"/>
        </w:rPr>
        <w:t>2025.</w:t>
      </w:r>
      <w:r w:rsidR="0079068E" w:rsidRPr="0079068E">
        <w:rPr>
          <w:rFonts w:cs="Arial"/>
          <w:lang w:eastAsia="en-GB"/>
        </w:rPr>
        <w:t xml:space="preserve"> Reliance on the assertion that the properties would be occupied by the applicant and family members is therefore unsound</w:t>
      </w:r>
      <w:r w:rsidR="001D16B2">
        <w:rPr>
          <w:rFonts w:cs="Arial"/>
          <w:lang w:eastAsia="en-GB"/>
        </w:rPr>
        <w:t xml:space="preserve"> and</w:t>
      </w:r>
      <w:r w:rsidR="0079068E" w:rsidRPr="0079068E">
        <w:rPr>
          <w:rFonts w:cs="Arial"/>
          <w:lang w:eastAsia="en-GB"/>
        </w:rPr>
        <w:t xml:space="preserve"> it cannot reasonably be assumed that the applicant would occupy the property. It is understood that the applicant is still not occupying the property, which substantially weakens both the case that the annexes are needed, or would be used by the applicant and family members</w:t>
      </w:r>
      <w:r w:rsidR="00D3142E">
        <w:rPr>
          <w:rFonts w:cs="Arial"/>
          <w:lang w:eastAsia="en-GB"/>
        </w:rPr>
        <w:t>.</w:t>
      </w:r>
    </w:p>
    <w:p w14:paraId="4F61B092" w14:textId="77777777" w:rsidR="00E20B22" w:rsidRDefault="00E20B22" w:rsidP="0079068E">
      <w:pPr>
        <w:tabs>
          <w:tab w:val="left" w:pos="567"/>
        </w:tabs>
        <w:autoSpaceDE w:val="0"/>
        <w:autoSpaceDN w:val="0"/>
        <w:adjustRightInd w:val="0"/>
        <w:ind w:left="426" w:hanging="426"/>
        <w:rPr>
          <w:rFonts w:cs="Arial"/>
          <w:lang w:eastAsia="en-GB"/>
        </w:rPr>
      </w:pPr>
    </w:p>
    <w:p w14:paraId="14FFC61F" w14:textId="1318007B" w:rsidR="00846500" w:rsidRDefault="00E20B22" w:rsidP="00846500">
      <w:pPr>
        <w:tabs>
          <w:tab w:val="left" w:pos="567"/>
        </w:tabs>
        <w:autoSpaceDE w:val="0"/>
        <w:autoSpaceDN w:val="0"/>
        <w:adjustRightInd w:val="0"/>
        <w:ind w:left="426" w:hanging="426"/>
        <w:rPr>
          <w:rFonts w:cs="Arial"/>
          <w:lang w:eastAsia="en-GB"/>
        </w:rPr>
      </w:pPr>
      <w:r>
        <w:rPr>
          <w:rFonts w:cs="Arial"/>
          <w:lang w:eastAsia="en-GB"/>
        </w:rPr>
        <w:t xml:space="preserve">2.4 The SOC </w:t>
      </w:r>
      <w:r w:rsidR="000D11D9">
        <w:rPr>
          <w:rFonts w:cs="Arial"/>
          <w:lang w:eastAsia="en-GB"/>
        </w:rPr>
        <w:t>outlines</w:t>
      </w:r>
      <w:r>
        <w:rPr>
          <w:rFonts w:cs="Arial"/>
          <w:lang w:eastAsia="en-GB"/>
        </w:rPr>
        <w:t xml:space="preserve"> that the </w:t>
      </w:r>
      <w:r w:rsidR="00846500" w:rsidRPr="00846500">
        <w:rPr>
          <w:rFonts w:cs="Arial"/>
          <w:lang w:eastAsia="en-GB"/>
        </w:rPr>
        <w:t>revised proposal responds directly to the Inspector’s findings in the previous appeal</w:t>
      </w:r>
      <w:r w:rsidR="004F215A">
        <w:rPr>
          <w:rFonts w:cs="Arial"/>
          <w:lang w:eastAsia="en-GB"/>
        </w:rPr>
        <w:t xml:space="preserve"> by removing the kitchenette and dining room tables</w:t>
      </w:r>
      <w:r w:rsidR="00846500" w:rsidRPr="00846500">
        <w:rPr>
          <w:rFonts w:cs="Arial"/>
          <w:lang w:eastAsia="en-GB"/>
        </w:rPr>
        <w:t xml:space="preserve">. The </w:t>
      </w:r>
      <w:r w:rsidR="004F215A">
        <w:rPr>
          <w:rFonts w:cs="Arial"/>
          <w:lang w:eastAsia="en-GB"/>
        </w:rPr>
        <w:t xml:space="preserve">SOC states that the </w:t>
      </w:r>
      <w:r w:rsidR="00846500" w:rsidRPr="00846500">
        <w:rPr>
          <w:rFonts w:cs="Arial"/>
          <w:lang w:eastAsia="en-GB"/>
        </w:rPr>
        <w:t>earlier scheme was dismissed solely because the outbuildings then contained kitchenettes and dining facilities, which were considered to enable “</w:t>
      </w:r>
      <w:r w:rsidR="00846500" w:rsidRPr="00846500">
        <w:rPr>
          <w:rFonts w:cs="Arial"/>
          <w:i/>
          <w:iCs/>
          <w:lang w:eastAsia="en-GB"/>
        </w:rPr>
        <w:t>day to day private living</w:t>
      </w:r>
      <w:r w:rsidR="00846500" w:rsidRPr="00846500">
        <w:rPr>
          <w:rFonts w:cs="Arial"/>
          <w:lang w:eastAsia="en-GB"/>
        </w:rPr>
        <w:t xml:space="preserve">” and therefore created the potential for independent occupation. </w:t>
      </w:r>
    </w:p>
    <w:p w14:paraId="1E4FC6FC" w14:textId="77777777" w:rsidR="004F215A" w:rsidRDefault="004F215A" w:rsidP="00846500">
      <w:pPr>
        <w:tabs>
          <w:tab w:val="left" w:pos="567"/>
        </w:tabs>
        <w:autoSpaceDE w:val="0"/>
        <w:autoSpaceDN w:val="0"/>
        <w:adjustRightInd w:val="0"/>
        <w:ind w:left="426" w:hanging="426"/>
        <w:rPr>
          <w:rFonts w:cs="Arial"/>
          <w:lang w:eastAsia="en-GB"/>
        </w:rPr>
      </w:pPr>
    </w:p>
    <w:p w14:paraId="6D15DF86" w14:textId="021BCDC9" w:rsidR="00C8546F" w:rsidRDefault="004F215A" w:rsidP="00C8546F">
      <w:pPr>
        <w:tabs>
          <w:tab w:val="left" w:pos="567"/>
        </w:tabs>
        <w:autoSpaceDE w:val="0"/>
        <w:autoSpaceDN w:val="0"/>
        <w:adjustRightInd w:val="0"/>
        <w:ind w:left="426" w:hanging="426"/>
        <w:rPr>
          <w:rFonts w:cs="Arial"/>
          <w:lang w:eastAsia="en-GB"/>
        </w:rPr>
      </w:pPr>
      <w:r>
        <w:rPr>
          <w:rFonts w:cs="Arial"/>
          <w:lang w:eastAsia="en-GB"/>
        </w:rPr>
        <w:lastRenderedPageBreak/>
        <w:t xml:space="preserve">2.5 </w:t>
      </w:r>
      <w:r w:rsidRPr="00ED0ADD">
        <w:rPr>
          <w:rFonts w:cs="Arial"/>
          <w:lang w:eastAsia="en-GB"/>
        </w:rPr>
        <w:t>This is not however correct</w:t>
      </w:r>
      <w:r w:rsidR="00B94676">
        <w:rPr>
          <w:rFonts w:cs="Arial"/>
          <w:lang w:eastAsia="en-GB"/>
        </w:rPr>
        <w:t>.</w:t>
      </w:r>
      <w:r w:rsidRPr="00ED0ADD">
        <w:rPr>
          <w:rFonts w:cs="Arial"/>
          <w:lang w:eastAsia="en-GB"/>
        </w:rPr>
        <w:t xml:space="preserve"> </w:t>
      </w:r>
      <w:r w:rsidR="00B94676">
        <w:rPr>
          <w:rFonts w:cs="Arial"/>
          <w:lang w:eastAsia="en-GB"/>
        </w:rPr>
        <w:t>A</w:t>
      </w:r>
      <w:r w:rsidRPr="00ED0ADD">
        <w:rPr>
          <w:rFonts w:cs="Arial"/>
          <w:lang w:eastAsia="en-GB"/>
        </w:rPr>
        <w:t xml:space="preserve">s noted </w:t>
      </w:r>
      <w:r w:rsidR="00713F17" w:rsidRPr="00ED0ADD">
        <w:rPr>
          <w:rFonts w:cs="Arial"/>
          <w:lang w:eastAsia="en-GB"/>
        </w:rPr>
        <w:t xml:space="preserve">above the inspector also referred to </w:t>
      </w:r>
      <w:r w:rsidR="00ED0ADD" w:rsidRPr="00ED0ADD">
        <w:rPr>
          <w:rFonts w:cs="Arial"/>
          <w:lang w:eastAsia="en-GB"/>
        </w:rPr>
        <w:t>the bathroom</w:t>
      </w:r>
      <w:r w:rsidR="00713F17" w:rsidRPr="00ED0ADD">
        <w:rPr>
          <w:rFonts w:cs="Arial"/>
          <w:lang w:eastAsia="en-GB"/>
        </w:rPr>
        <w:t xml:space="preserve"> with a WC and shower an open plan living area and a double bed</w:t>
      </w:r>
      <w:r w:rsidR="00ED0ADD">
        <w:rPr>
          <w:rFonts w:cs="Arial"/>
          <w:lang w:eastAsia="en-GB"/>
        </w:rPr>
        <w:t xml:space="preserve"> all of which are still proposed within the submitted floor plans. </w:t>
      </w:r>
      <w:r w:rsidR="009E1812">
        <w:rPr>
          <w:rFonts w:cs="Arial"/>
          <w:lang w:eastAsia="en-GB"/>
        </w:rPr>
        <w:t xml:space="preserve">Policy </w:t>
      </w:r>
      <w:r w:rsidR="00F418F0" w:rsidRPr="00F418F0">
        <w:rPr>
          <w:rFonts w:cs="Arial"/>
          <w:lang w:eastAsia="en-GB"/>
        </w:rPr>
        <w:t>DMHD 2</w:t>
      </w:r>
      <w:r w:rsidR="00F418F0">
        <w:rPr>
          <w:rFonts w:cs="Arial"/>
          <w:lang w:eastAsia="en-GB"/>
        </w:rPr>
        <w:t xml:space="preserve"> of the Local Plan specifically</w:t>
      </w:r>
      <w:r w:rsidR="00F418F0" w:rsidRPr="00F418F0">
        <w:rPr>
          <w:rFonts w:cs="Arial"/>
          <w:lang w:eastAsia="en-GB"/>
        </w:rPr>
        <w:t xml:space="preserve"> states that outbuildings should not contain primary living accommodation </w:t>
      </w:r>
      <w:r w:rsidR="00F418F0" w:rsidRPr="00F418F0">
        <w:rPr>
          <w:rFonts w:cs="Arial"/>
          <w:i/>
          <w:iCs/>
          <w:lang w:eastAsia="en-GB"/>
        </w:rPr>
        <w:t>such as a bedroom, bathroom or kitchen</w:t>
      </w:r>
      <w:r w:rsidR="00F418F0">
        <w:rPr>
          <w:rFonts w:cs="Arial"/>
          <w:i/>
          <w:iCs/>
          <w:lang w:eastAsia="en-GB"/>
        </w:rPr>
        <w:t xml:space="preserve">. </w:t>
      </w:r>
      <w:r w:rsidR="00A03651">
        <w:rPr>
          <w:rFonts w:cs="Arial"/>
          <w:lang w:eastAsia="en-GB"/>
        </w:rPr>
        <w:t xml:space="preserve">The previous appeal inspector </w:t>
      </w:r>
      <w:r w:rsidR="00690B1C">
        <w:rPr>
          <w:rFonts w:cs="Arial"/>
          <w:lang w:eastAsia="en-GB"/>
        </w:rPr>
        <w:t xml:space="preserve">concluded that the facilitates provided, </w:t>
      </w:r>
      <w:r w:rsidR="009966F3">
        <w:rPr>
          <w:rFonts w:cs="Arial"/>
          <w:lang w:eastAsia="en-GB"/>
        </w:rPr>
        <w:t xml:space="preserve">size of internal floor area and </w:t>
      </w:r>
      <w:r w:rsidR="00690B1C">
        <w:rPr>
          <w:rFonts w:cs="Arial"/>
          <w:lang w:eastAsia="en-GB"/>
        </w:rPr>
        <w:t>the access arrangements and spatial siting of the outbuildings</w:t>
      </w:r>
      <w:r w:rsidR="00E805B4">
        <w:rPr>
          <w:rFonts w:cs="Arial"/>
          <w:lang w:eastAsia="en-GB"/>
        </w:rPr>
        <w:t xml:space="preserve"> would </w:t>
      </w:r>
      <w:r w:rsidR="000C48C9">
        <w:rPr>
          <w:rFonts w:cs="Arial"/>
          <w:lang w:eastAsia="en-GB"/>
        </w:rPr>
        <w:t xml:space="preserve">mean that the outbuildings were capable of self-contained residential use. </w:t>
      </w:r>
      <w:r w:rsidR="00690B1C">
        <w:rPr>
          <w:rFonts w:cs="Arial"/>
          <w:lang w:eastAsia="en-GB"/>
        </w:rPr>
        <w:t xml:space="preserve">  </w:t>
      </w:r>
    </w:p>
    <w:p w14:paraId="0BFFCA98" w14:textId="77777777" w:rsidR="00C8546F" w:rsidRDefault="00C8546F" w:rsidP="00C8546F">
      <w:pPr>
        <w:tabs>
          <w:tab w:val="left" w:pos="567"/>
        </w:tabs>
        <w:autoSpaceDE w:val="0"/>
        <w:autoSpaceDN w:val="0"/>
        <w:adjustRightInd w:val="0"/>
        <w:ind w:left="426" w:hanging="426"/>
        <w:rPr>
          <w:rFonts w:cs="Arial"/>
          <w:lang w:eastAsia="en-GB"/>
        </w:rPr>
      </w:pPr>
    </w:p>
    <w:p w14:paraId="644DF306" w14:textId="177B1379" w:rsidR="004F11BE" w:rsidRDefault="004456A1">
      <w:pPr>
        <w:pStyle w:val="ListParagraph"/>
        <w:numPr>
          <w:ilvl w:val="1"/>
          <w:numId w:val="5"/>
        </w:numPr>
        <w:tabs>
          <w:tab w:val="left" w:pos="567"/>
        </w:tabs>
        <w:autoSpaceDE w:val="0"/>
        <w:autoSpaceDN w:val="0"/>
        <w:adjustRightInd w:val="0"/>
        <w:rPr>
          <w:rFonts w:cs="Arial"/>
          <w:lang w:eastAsia="en-GB"/>
        </w:rPr>
      </w:pPr>
      <w:r w:rsidRPr="004F11BE">
        <w:rPr>
          <w:rFonts w:cs="Arial"/>
          <w:lang w:eastAsia="en-GB"/>
        </w:rPr>
        <w:t xml:space="preserve">The appellant however contends that </w:t>
      </w:r>
      <w:r w:rsidR="00A03651" w:rsidRPr="004F11BE">
        <w:rPr>
          <w:rFonts w:cs="Arial"/>
          <w:lang w:eastAsia="en-GB"/>
        </w:rPr>
        <w:t>the removal of the kitchen</w:t>
      </w:r>
      <w:r w:rsidR="00C8546F" w:rsidRPr="004F11BE">
        <w:rPr>
          <w:rFonts w:cs="Arial"/>
          <w:lang w:eastAsia="en-GB"/>
        </w:rPr>
        <w:t xml:space="preserve">ette and dining room table </w:t>
      </w:r>
      <w:r w:rsidR="002200D4" w:rsidRPr="004F11BE">
        <w:rPr>
          <w:rFonts w:cs="Arial"/>
          <w:lang w:eastAsia="en-GB"/>
        </w:rPr>
        <w:t xml:space="preserve">would </w:t>
      </w:r>
      <w:r w:rsidR="001C6812" w:rsidRPr="004F11BE">
        <w:rPr>
          <w:rFonts w:cs="Arial"/>
          <w:lang w:eastAsia="en-GB"/>
        </w:rPr>
        <w:t xml:space="preserve">address this particular concern. </w:t>
      </w:r>
      <w:r w:rsidR="008754CA" w:rsidRPr="004F11BE">
        <w:rPr>
          <w:rFonts w:cs="Arial"/>
          <w:lang w:eastAsia="en-GB"/>
        </w:rPr>
        <w:t xml:space="preserve">Officers would however reiterate </w:t>
      </w:r>
      <w:r w:rsidR="00D36A10" w:rsidRPr="004F11BE">
        <w:rPr>
          <w:rFonts w:cs="Arial"/>
          <w:lang w:eastAsia="en-GB"/>
        </w:rPr>
        <w:t xml:space="preserve">the comments set out in the officers delegated report that </w:t>
      </w:r>
      <w:r w:rsidR="008754CA" w:rsidRPr="004F11BE">
        <w:rPr>
          <w:rFonts w:cs="Arial"/>
          <w:lang w:eastAsia="en-GB"/>
        </w:rPr>
        <w:t xml:space="preserve">a kitchen or other cooking facilities could be installed </w:t>
      </w:r>
      <w:proofErr w:type="gramStart"/>
      <w:r w:rsidR="008754CA" w:rsidRPr="004F11BE">
        <w:rPr>
          <w:rFonts w:cs="Arial"/>
          <w:lang w:eastAsia="en-GB"/>
        </w:rPr>
        <w:t>at a later time</w:t>
      </w:r>
      <w:proofErr w:type="gramEnd"/>
      <w:r w:rsidR="008754CA" w:rsidRPr="004F11BE">
        <w:rPr>
          <w:rFonts w:cs="Arial"/>
          <w:lang w:eastAsia="en-GB"/>
        </w:rPr>
        <w:t>. A condition to control the scope of cooking equipment that could be installed in the dwelling cannot reasonably be enforced</w:t>
      </w:r>
      <w:r w:rsidR="007140E8" w:rsidRPr="004F11BE">
        <w:rPr>
          <w:rFonts w:cs="Arial"/>
          <w:lang w:eastAsia="en-GB"/>
        </w:rPr>
        <w:t xml:space="preserve">, particularly as cooking equipment </w:t>
      </w:r>
      <w:r w:rsidR="006D5E38" w:rsidRPr="004F11BE">
        <w:rPr>
          <w:rFonts w:cs="Arial"/>
          <w:lang w:eastAsia="en-GB"/>
        </w:rPr>
        <w:t xml:space="preserve">such as air fryers or microwaves </w:t>
      </w:r>
      <w:r w:rsidR="007140E8" w:rsidRPr="004F11BE">
        <w:rPr>
          <w:rFonts w:cs="Arial"/>
          <w:lang w:eastAsia="en-GB"/>
        </w:rPr>
        <w:t xml:space="preserve">would not necessarily entail the need to install and oven/hob </w:t>
      </w:r>
      <w:r w:rsidR="00174D9F" w:rsidRPr="004F11BE">
        <w:rPr>
          <w:rFonts w:cs="Arial"/>
          <w:lang w:eastAsia="en-GB"/>
        </w:rPr>
        <w:t xml:space="preserve">or </w:t>
      </w:r>
      <w:r w:rsidR="006D5E38" w:rsidRPr="004F11BE">
        <w:rPr>
          <w:rFonts w:cs="Arial"/>
          <w:lang w:eastAsia="en-GB"/>
        </w:rPr>
        <w:t xml:space="preserve">a </w:t>
      </w:r>
      <w:r w:rsidR="00174D9F" w:rsidRPr="004F11BE">
        <w:rPr>
          <w:rFonts w:cs="Arial"/>
          <w:lang w:eastAsia="en-GB"/>
        </w:rPr>
        <w:t>substantial kitchenette. Plumbing would exist in the buil</w:t>
      </w:r>
      <w:r w:rsidR="00DD5784" w:rsidRPr="004F11BE">
        <w:rPr>
          <w:rFonts w:cs="Arial"/>
          <w:lang w:eastAsia="en-GB"/>
        </w:rPr>
        <w:t>ding to install washing up facilities and for appliances such as washing mac</w:t>
      </w:r>
      <w:r w:rsidR="006D5E38" w:rsidRPr="004F11BE">
        <w:rPr>
          <w:rFonts w:cs="Arial"/>
          <w:lang w:eastAsia="en-GB"/>
        </w:rPr>
        <w:t>hines</w:t>
      </w:r>
      <w:r w:rsidR="003E523B">
        <w:rPr>
          <w:rFonts w:cs="Arial"/>
          <w:lang w:eastAsia="en-GB"/>
        </w:rPr>
        <w:t xml:space="preserve"> </w:t>
      </w:r>
      <w:r w:rsidR="00A447DA">
        <w:rPr>
          <w:rFonts w:cs="Arial"/>
          <w:lang w:eastAsia="en-GB"/>
        </w:rPr>
        <w:t xml:space="preserve">to support day to day living independent of the main dwelling. </w:t>
      </w:r>
    </w:p>
    <w:p w14:paraId="15C509DE" w14:textId="77777777" w:rsidR="004F11BE" w:rsidRDefault="004F11BE" w:rsidP="004F11BE">
      <w:pPr>
        <w:pStyle w:val="ListParagraph"/>
        <w:tabs>
          <w:tab w:val="left" w:pos="567"/>
        </w:tabs>
        <w:autoSpaceDE w:val="0"/>
        <w:autoSpaceDN w:val="0"/>
        <w:adjustRightInd w:val="0"/>
        <w:ind w:left="360"/>
        <w:rPr>
          <w:rFonts w:cs="Arial"/>
          <w:lang w:eastAsia="en-GB"/>
        </w:rPr>
      </w:pPr>
    </w:p>
    <w:p w14:paraId="4281BCE2" w14:textId="7EF4A368" w:rsidR="00111EB2" w:rsidRPr="000D76D3" w:rsidRDefault="004F11BE">
      <w:pPr>
        <w:pStyle w:val="ListParagraph"/>
        <w:numPr>
          <w:ilvl w:val="1"/>
          <w:numId w:val="5"/>
        </w:numPr>
        <w:tabs>
          <w:tab w:val="left" w:pos="567"/>
        </w:tabs>
        <w:autoSpaceDE w:val="0"/>
        <w:autoSpaceDN w:val="0"/>
        <w:adjustRightInd w:val="0"/>
        <w:rPr>
          <w:rFonts w:cs="Arial"/>
          <w:lang w:eastAsia="en-GB"/>
        </w:rPr>
      </w:pPr>
      <w:r w:rsidRPr="004F11BE">
        <w:rPr>
          <w:rFonts w:cs="Arial"/>
          <w:lang w:eastAsia="en-GB"/>
        </w:rPr>
        <w:t xml:space="preserve">The appellant </w:t>
      </w:r>
      <w:r>
        <w:rPr>
          <w:rFonts w:cs="Arial"/>
          <w:lang w:eastAsia="en-GB"/>
        </w:rPr>
        <w:t xml:space="preserve">within </w:t>
      </w:r>
      <w:r w:rsidR="008E1E51">
        <w:rPr>
          <w:rFonts w:cs="Arial"/>
          <w:lang w:eastAsia="en-GB"/>
        </w:rPr>
        <w:t>the SOC states that a</w:t>
      </w:r>
      <w:r w:rsidRPr="004F11BE">
        <w:rPr>
          <w:rFonts w:cs="Arial"/>
          <w:lang w:eastAsia="en-GB"/>
        </w:rPr>
        <w:t xml:space="preserve"> condition restricting the use</w:t>
      </w:r>
      <w:r w:rsidR="00937AE6">
        <w:rPr>
          <w:rFonts w:cs="Arial"/>
          <w:lang w:eastAsia="en-GB"/>
        </w:rPr>
        <w:t xml:space="preserve"> of the outbuilding</w:t>
      </w:r>
      <w:r w:rsidRPr="004F11BE">
        <w:rPr>
          <w:rFonts w:cs="Arial"/>
          <w:lang w:eastAsia="en-GB"/>
        </w:rPr>
        <w:t xml:space="preserve"> to purposes ancillary to the host dwellings and limiting occupation to dependent relatives, with the buildings reverting to incidental use upon cessation of such occupation</w:t>
      </w:r>
      <w:r w:rsidR="008E1E51">
        <w:rPr>
          <w:rFonts w:cs="Arial"/>
          <w:lang w:eastAsia="en-GB"/>
        </w:rPr>
        <w:t xml:space="preserve"> would</w:t>
      </w:r>
      <w:r w:rsidR="00D929CD">
        <w:rPr>
          <w:rFonts w:cs="Arial"/>
          <w:lang w:eastAsia="en-GB"/>
        </w:rPr>
        <w:t xml:space="preserve"> provide realistic means of</w:t>
      </w:r>
      <w:r w:rsidR="00CA32FD">
        <w:rPr>
          <w:rFonts w:cs="Arial"/>
          <w:lang w:eastAsia="en-GB"/>
        </w:rPr>
        <w:t xml:space="preserve"> controlling the </w:t>
      </w:r>
      <w:r w:rsidR="000D76D3">
        <w:rPr>
          <w:rFonts w:cs="Arial"/>
          <w:lang w:eastAsia="en-GB"/>
        </w:rPr>
        <w:t xml:space="preserve">use of the outbuildings. In relation to this point the pervious appeal inspector commented that: </w:t>
      </w:r>
    </w:p>
    <w:p w14:paraId="2B08083D" w14:textId="77777777" w:rsidR="00111EB2" w:rsidRDefault="00111EB2" w:rsidP="00111EB2">
      <w:pPr>
        <w:tabs>
          <w:tab w:val="left" w:pos="567"/>
        </w:tabs>
        <w:autoSpaceDE w:val="0"/>
        <w:autoSpaceDN w:val="0"/>
        <w:adjustRightInd w:val="0"/>
        <w:ind w:left="426" w:hanging="426"/>
        <w:rPr>
          <w:rFonts w:cs="Arial"/>
          <w:lang w:eastAsia="en-GB"/>
        </w:rPr>
      </w:pPr>
    </w:p>
    <w:p w14:paraId="0BF0135E" w14:textId="7D7627C6" w:rsidR="008754CA" w:rsidRPr="00111EB2" w:rsidRDefault="00111EB2" w:rsidP="00111EB2">
      <w:pPr>
        <w:tabs>
          <w:tab w:val="left" w:pos="567"/>
        </w:tabs>
        <w:autoSpaceDE w:val="0"/>
        <w:autoSpaceDN w:val="0"/>
        <w:adjustRightInd w:val="0"/>
        <w:ind w:left="426"/>
        <w:rPr>
          <w:rFonts w:cs="Arial"/>
          <w:i/>
          <w:iCs/>
          <w:lang w:eastAsia="en-GB"/>
        </w:rPr>
      </w:pPr>
      <w:r w:rsidRPr="00111EB2">
        <w:rPr>
          <w:rFonts w:cs="Arial"/>
          <w:i/>
          <w:iCs/>
          <w:lang w:eastAsia="en-GB"/>
        </w:rPr>
        <w:t xml:space="preserve">The Council considers that such conditions could not be enforced, specifically as detecting a change in the use to use as independent residential units would be difficult given the extent of facilities provided. On the evidence before </w:t>
      </w:r>
      <w:proofErr w:type="gramStart"/>
      <w:r w:rsidRPr="00111EB2">
        <w:rPr>
          <w:rFonts w:cs="Arial"/>
          <w:i/>
          <w:iCs/>
          <w:lang w:eastAsia="en-GB"/>
        </w:rPr>
        <w:t>me,</w:t>
      </w:r>
      <w:r w:rsidR="000D76D3">
        <w:rPr>
          <w:rFonts w:cs="Arial"/>
          <w:i/>
          <w:iCs/>
          <w:lang w:eastAsia="en-GB"/>
        </w:rPr>
        <w:t xml:space="preserve"> </w:t>
      </w:r>
      <w:r w:rsidRPr="00111EB2">
        <w:rPr>
          <w:rFonts w:cs="Arial"/>
          <w:i/>
          <w:iCs/>
          <w:lang w:eastAsia="en-GB"/>
        </w:rPr>
        <w:t>and</w:t>
      </w:r>
      <w:proofErr w:type="gramEnd"/>
      <w:r w:rsidRPr="00111EB2">
        <w:rPr>
          <w:rFonts w:cs="Arial"/>
          <w:i/>
          <w:iCs/>
          <w:lang w:eastAsia="en-GB"/>
        </w:rPr>
        <w:t xml:space="preserve"> having regard to the secluded position of the outbuildings, I see no reason to disagree with their conclusion. It would be unduly onerous for the Council to investigate and monitor whether occupiers of the two outbuildings continue to meet an imprecise definition of ‘other dependent relatives forming part of the same household’, as has been suggested. The group of occupiers which this condition would permit would not be founded on any policy basis or on specific, acknowledged personal circumstances which justify the development in perpetuity. </w:t>
      </w:r>
      <w:r w:rsidR="006D5E38" w:rsidRPr="00111EB2">
        <w:rPr>
          <w:rFonts w:cs="Arial"/>
          <w:i/>
          <w:iCs/>
          <w:lang w:eastAsia="en-GB"/>
        </w:rPr>
        <w:t xml:space="preserve"> </w:t>
      </w:r>
      <w:r w:rsidR="00DD5784" w:rsidRPr="00111EB2">
        <w:rPr>
          <w:rFonts w:cs="Arial"/>
          <w:i/>
          <w:iCs/>
          <w:lang w:eastAsia="en-GB"/>
        </w:rPr>
        <w:t xml:space="preserve"> </w:t>
      </w:r>
      <w:r w:rsidR="007140E8" w:rsidRPr="00111EB2">
        <w:rPr>
          <w:rFonts w:cs="Arial"/>
          <w:i/>
          <w:iCs/>
          <w:lang w:eastAsia="en-GB"/>
        </w:rPr>
        <w:t xml:space="preserve"> </w:t>
      </w:r>
    </w:p>
    <w:p w14:paraId="3935D08C" w14:textId="77777777" w:rsidR="008754CA" w:rsidRPr="007052B4" w:rsidRDefault="008754CA" w:rsidP="00BD164E">
      <w:pPr>
        <w:tabs>
          <w:tab w:val="left" w:pos="567"/>
        </w:tabs>
        <w:autoSpaceDE w:val="0"/>
        <w:autoSpaceDN w:val="0"/>
        <w:adjustRightInd w:val="0"/>
        <w:ind w:left="567" w:hanging="567"/>
        <w:rPr>
          <w:rFonts w:cs="Arial"/>
          <w:lang w:eastAsia="en-GB"/>
        </w:rPr>
      </w:pPr>
    </w:p>
    <w:p w14:paraId="2898AFBB" w14:textId="76876CA8" w:rsidR="00E17D14" w:rsidRPr="00E17D14" w:rsidRDefault="006A3B80">
      <w:pPr>
        <w:pStyle w:val="ListParagraph"/>
        <w:numPr>
          <w:ilvl w:val="1"/>
          <w:numId w:val="5"/>
        </w:numPr>
        <w:tabs>
          <w:tab w:val="left" w:pos="1092"/>
        </w:tabs>
        <w:rPr>
          <w:rFonts w:cs="Arial"/>
          <w:lang w:eastAsia="en-GB"/>
        </w:rPr>
      </w:pPr>
      <w:r w:rsidRPr="002A552D">
        <w:rPr>
          <w:rFonts w:cs="Arial"/>
          <w:lang w:eastAsia="en-GB"/>
        </w:rPr>
        <w:t>Notwithst</w:t>
      </w:r>
      <w:r w:rsidR="003C4110" w:rsidRPr="002A552D">
        <w:rPr>
          <w:rFonts w:cs="Arial"/>
          <w:lang w:eastAsia="en-GB"/>
        </w:rPr>
        <w:t>anding the removal of the kitchen</w:t>
      </w:r>
      <w:r w:rsidR="002A552D">
        <w:rPr>
          <w:rFonts w:cs="Arial"/>
          <w:lang w:eastAsia="en-GB"/>
        </w:rPr>
        <w:t xml:space="preserve">ette from the </w:t>
      </w:r>
      <w:r w:rsidR="00BA7A4B">
        <w:rPr>
          <w:rFonts w:cs="Arial"/>
          <w:lang w:eastAsia="en-GB"/>
        </w:rPr>
        <w:t>proposal’s</w:t>
      </w:r>
      <w:r w:rsidR="002A552D">
        <w:rPr>
          <w:rFonts w:cs="Arial"/>
          <w:lang w:eastAsia="en-GB"/>
        </w:rPr>
        <w:t xml:space="preserve"> plans, the Councils position remains that </w:t>
      </w:r>
      <w:r w:rsidR="001D3888" w:rsidRPr="00BA7A4B">
        <w:rPr>
          <w:rFonts w:cs="Arial"/>
          <w:lang w:eastAsia="en-GB"/>
        </w:rPr>
        <w:t xml:space="preserve">a condition stating that </w:t>
      </w:r>
      <w:r w:rsidR="004512E9" w:rsidRPr="00BA7A4B">
        <w:rPr>
          <w:rFonts w:cs="Arial"/>
          <w:lang w:eastAsia="en-GB"/>
        </w:rPr>
        <w:t>occupation is limited to a use ancillary to the respective properties would fail the test of enforceability applied to planning conditions as set</w:t>
      </w:r>
      <w:r w:rsidR="001D3888" w:rsidRPr="00BA7A4B">
        <w:rPr>
          <w:rFonts w:cs="Arial"/>
          <w:lang w:eastAsia="en-GB"/>
        </w:rPr>
        <w:t xml:space="preserve"> </w:t>
      </w:r>
      <w:r w:rsidR="004512E9" w:rsidRPr="00BA7A4B">
        <w:rPr>
          <w:rFonts w:cs="Arial"/>
          <w:lang w:eastAsia="en-GB"/>
        </w:rPr>
        <w:t xml:space="preserve">out in Paragraph 57 of the </w:t>
      </w:r>
      <w:r w:rsidR="00DC1408" w:rsidRPr="00BA7A4B">
        <w:rPr>
          <w:rFonts w:cs="Arial"/>
          <w:lang w:eastAsia="en-GB"/>
        </w:rPr>
        <w:t>NPPF.</w:t>
      </w:r>
      <w:r w:rsidR="00DC1408" w:rsidRPr="00E17D14">
        <w:rPr>
          <w:rFonts w:cs="Arial"/>
          <w:lang w:eastAsia="en-GB"/>
        </w:rPr>
        <w:t xml:space="preserve"> In</w:t>
      </w:r>
      <w:r w:rsidR="00E17D14" w:rsidRPr="00E17D14">
        <w:rPr>
          <w:rFonts w:cs="Arial"/>
          <w:lang w:eastAsia="en-GB"/>
        </w:rPr>
        <w:t xml:space="preserve"> the absence of the ability to appropriately restrict the use of the outbuilding the amenity of adjoining properties cannot be adequately safeguarded. As such the proposals would be contrary to Policies D1, D3, D4, and D6 of the London Plan (2021), and Policies DMH 6, DMHD 2, and DMHB 11 of the Hillingdon Local Plan: Part Two - Development Management Policies (2020).</w:t>
      </w:r>
    </w:p>
    <w:p w14:paraId="64DE11F5" w14:textId="77777777" w:rsidR="000D76D3" w:rsidRDefault="000D76D3" w:rsidP="008E0835">
      <w:pPr>
        <w:tabs>
          <w:tab w:val="left" w:pos="1092"/>
        </w:tabs>
        <w:rPr>
          <w:rFonts w:cs="Arial"/>
          <w:lang w:eastAsia="en-GB"/>
        </w:rPr>
      </w:pPr>
    </w:p>
    <w:p w14:paraId="5A995347" w14:textId="148BF81F" w:rsidR="00B73886" w:rsidRPr="00694815" w:rsidRDefault="00B73886" w:rsidP="00C564E4">
      <w:pPr>
        <w:tabs>
          <w:tab w:val="left" w:pos="1092"/>
        </w:tabs>
        <w:rPr>
          <w:rFonts w:cs="Arial"/>
          <w:u w:val="single"/>
          <w:lang w:eastAsia="en-GB"/>
        </w:rPr>
      </w:pPr>
      <w:r w:rsidRPr="00B73886">
        <w:rPr>
          <w:rFonts w:cs="Arial"/>
          <w:u w:val="single"/>
          <w:lang w:eastAsia="en-GB"/>
        </w:rPr>
        <w:t>Impact on Character and Appearance of the Area</w:t>
      </w:r>
      <w:r w:rsidR="00694815">
        <w:rPr>
          <w:rFonts w:cs="Arial"/>
          <w:u w:val="single"/>
          <w:lang w:eastAsia="en-GB"/>
        </w:rPr>
        <w:t xml:space="preserve"> </w:t>
      </w:r>
    </w:p>
    <w:p w14:paraId="34DE3EBE" w14:textId="77777777" w:rsidR="00B73886" w:rsidRDefault="00B73886" w:rsidP="008E0835">
      <w:pPr>
        <w:tabs>
          <w:tab w:val="left" w:pos="1092"/>
        </w:tabs>
        <w:rPr>
          <w:rFonts w:cs="Arial"/>
          <w:lang w:eastAsia="en-GB"/>
        </w:rPr>
      </w:pPr>
    </w:p>
    <w:p w14:paraId="1B9F59DD" w14:textId="77777777" w:rsidR="00DC1408" w:rsidRDefault="004C4B82">
      <w:pPr>
        <w:pStyle w:val="ListParagraph"/>
        <w:numPr>
          <w:ilvl w:val="1"/>
          <w:numId w:val="5"/>
        </w:numPr>
        <w:tabs>
          <w:tab w:val="left" w:pos="1092"/>
        </w:tabs>
        <w:rPr>
          <w:rFonts w:cs="Arial"/>
          <w:lang w:eastAsia="en-GB"/>
        </w:rPr>
      </w:pPr>
      <w:r w:rsidRPr="00137916">
        <w:rPr>
          <w:rFonts w:cs="Arial"/>
          <w:lang w:eastAsia="en-GB"/>
        </w:rPr>
        <w:t xml:space="preserve">The appellants </w:t>
      </w:r>
      <w:r w:rsidR="0051288F" w:rsidRPr="00137916">
        <w:rPr>
          <w:rFonts w:cs="Arial"/>
          <w:lang w:eastAsia="en-GB"/>
        </w:rPr>
        <w:t xml:space="preserve">SOC outlines that the </w:t>
      </w:r>
      <w:r w:rsidRPr="00137916">
        <w:rPr>
          <w:rFonts w:cs="Arial"/>
          <w:lang w:eastAsia="en-GB"/>
        </w:rPr>
        <w:t xml:space="preserve">Council’s conclusion that the proposal would harm character is therefore inconsistent with both the Inspector’s previous findings and </w:t>
      </w:r>
      <w:r w:rsidRPr="00137916">
        <w:rPr>
          <w:rFonts w:cs="Arial"/>
          <w:lang w:eastAsia="en-GB"/>
        </w:rPr>
        <w:lastRenderedPageBreak/>
        <w:t xml:space="preserve">its own officer’s assessment. There would be no increase in built form, no subdivision of land and no change to the visual relationship between the dwellings and their gardens. The proposal does not introduce visual clutter, over dominance or any disruption to the established suburban grain. </w:t>
      </w:r>
    </w:p>
    <w:p w14:paraId="0333DDB0" w14:textId="77777777" w:rsidR="00DC1408" w:rsidRDefault="00DC1408" w:rsidP="00DC1408">
      <w:pPr>
        <w:pStyle w:val="ListParagraph"/>
        <w:tabs>
          <w:tab w:val="left" w:pos="1092"/>
        </w:tabs>
        <w:ind w:left="360"/>
        <w:rPr>
          <w:rFonts w:cs="Arial"/>
          <w:lang w:eastAsia="en-GB"/>
        </w:rPr>
      </w:pPr>
    </w:p>
    <w:p w14:paraId="5E7AA3B3" w14:textId="77777777" w:rsidR="00AF32F5" w:rsidRDefault="00DC3B35">
      <w:pPr>
        <w:pStyle w:val="ListParagraph"/>
        <w:numPr>
          <w:ilvl w:val="1"/>
          <w:numId w:val="5"/>
        </w:numPr>
        <w:tabs>
          <w:tab w:val="left" w:pos="567"/>
        </w:tabs>
        <w:ind w:left="426" w:hanging="567"/>
        <w:rPr>
          <w:rFonts w:cs="Arial"/>
          <w:lang w:eastAsia="en-GB"/>
        </w:rPr>
      </w:pPr>
      <w:r w:rsidRPr="00DC1408">
        <w:rPr>
          <w:rFonts w:cs="Arial"/>
          <w:lang w:eastAsia="en-GB"/>
        </w:rPr>
        <w:t>Th</w:t>
      </w:r>
      <w:r w:rsidR="00137916" w:rsidRPr="00DC1408">
        <w:rPr>
          <w:rFonts w:cs="Arial"/>
          <w:lang w:eastAsia="en-GB"/>
        </w:rPr>
        <w:t>is assertion overlooks that the</w:t>
      </w:r>
      <w:r w:rsidRPr="00DC1408">
        <w:rPr>
          <w:rFonts w:cs="Arial"/>
          <w:lang w:eastAsia="en-GB"/>
        </w:rPr>
        <w:t xml:space="preserve"> </w:t>
      </w:r>
      <w:r w:rsidR="00137916" w:rsidRPr="00DC1408">
        <w:rPr>
          <w:rFonts w:cs="Arial"/>
          <w:lang w:eastAsia="en-GB"/>
        </w:rPr>
        <w:t>council’s</w:t>
      </w:r>
      <w:r w:rsidRPr="00DC1408">
        <w:rPr>
          <w:rFonts w:cs="Arial"/>
          <w:lang w:eastAsia="en-GB"/>
        </w:rPr>
        <w:t xml:space="preserve"> reason for </w:t>
      </w:r>
      <w:r w:rsidR="00F9085A" w:rsidRPr="00DC1408">
        <w:rPr>
          <w:rFonts w:cs="Arial"/>
          <w:lang w:eastAsia="en-GB"/>
        </w:rPr>
        <w:t xml:space="preserve">refusing planning application </w:t>
      </w:r>
      <w:r w:rsidR="00D013E5" w:rsidRPr="00DC1408">
        <w:rPr>
          <w:rFonts w:cs="Arial"/>
          <w:lang w:eastAsia="en-GB"/>
        </w:rPr>
        <w:t xml:space="preserve">67410/APP/2024/2641 </w:t>
      </w:r>
      <w:r w:rsidR="00F9085A" w:rsidRPr="00DC1408">
        <w:rPr>
          <w:rFonts w:cs="Arial"/>
          <w:lang w:eastAsia="en-GB"/>
        </w:rPr>
        <w:t xml:space="preserve">also cited concern regarding the impact of the proposed development on the </w:t>
      </w:r>
      <w:r w:rsidR="003E5118" w:rsidRPr="00DC1408">
        <w:rPr>
          <w:rFonts w:cs="Arial"/>
          <w:lang w:eastAsia="en-GB"/>
        </w:rPr>
        <w:t>‘</w:t>
      </w:r>
      <w:r w:rsidR="003E5118" w:rsidRPr="00DC1408">
        <w:rPr>
          <w:rFonts w:cs="Arial"/>
          <w:i/>
          <w:iCs/>
          <w:lang w:eastAsia="en-GB"/>
        </w:rPr>
        <w:t>area’s character and appearance’</w:t>
      </w:r>
      <w:r w:rsidR="00D013E5" w:rsidRPr="00DC1408">
        <w:rPr>
          <w:rFonts w:cs="Arial"/>
          <w:lang w:eastAsia="en-GB"/>
        </w:rPr>
        <w:t xml:space="preserve"> and is therefore incorrect. </w:t>
      </w:r>
      <w:r w:rsidR="00F44D13" w:rsidRPr="00DC1408">
        <w:rPr>
          <w:rFonts w:cs="Arial"/>
          <w:lang w:eastAsia="en-GB"/>
        </w:rPr>
        <w:t xml:space="preserve">Whilst the outbuilding exists and the proposals do not involve </w:t>
      </w:r>
      <w:r w:rsidR="00C207A5" w:rsidRPr="00DC1408">
        <w:rPr>
          <w:rFonts w:cs="Arial"/>
          <w:lang w:eastAsia="en-GB"/>
        </w:rPr>
        <w:t>external alterations</w:t>
      </w:r>
      <w:r w:rsidR="00914536" w:rsidRPr="00DC1408">
        <w:rPr>
          <w:rFonts w:cs="Arial"/>
          <w:lang w:eastAsia="en-GB"/>
        </w:rPr>
        <w:t>, the impact on the character of the locality is not restricted to physical development</w:t>
      </w:r>
      <w:r w:rsidR="002C3509" w:rsidRPr="00DC1408">
        <w:rPr>
          <w:rFonts w:cs="Arial"/>
          <w:lang w:eastAsia="en-GB"/>
        </w:rPr>
        <w:t xml:space="preserve">. Use of the outbuildings as self-contained accommodation </w:t>
      </w:r>
      <w:r w:rsidR="00220396" w:rsidRPr="00DC1408">
        <w:rPr>
          <w:rFonts w:cs="Arial"/>
          <w:lang w:eastAsia="en-GB"/>
        </w:rPr>
        <w:t xml:space="preserve">would relate to an intensification of residential use </w:t>
      </w:r>
      <w:r w:rsidR="00B6431D" w:rsidRPr="00DC1408">
        <w:rPr>
          <w:rFonts w:cs="Arial"/>
          <w:lang w:eastAsia="en-GB"/>
        </w:rPr>
        <w:t xml:space="preserve">of the gardens, representing </w:t>
      </w:r>
      <w:proofErr w:type="spellStart"/>
      <w:r w:rsidR="00616EA2" w:rsidRPr="00DC1408">
        <w:rPr>
          <w:rFonts w:cs="Arial"/>
          <w:lang w:eastAsia="en-GB"/>
        </w:rPr>
        <w:t>backland</w:t>
      </w:r>
      <w:proofErr w:type="spellEnd"/>
      <w:r w:rsidR="00616EA2" w:rsidRPr="00DC1408">
        <w:rPr>
          <w:rFonts w:cs="Arial"/>
          <w:lang w:eastAsia="en-GB"/>
        </w:rPr>
        <w:t xml:space="preserve"> developme</w:t>
      </w:r>
      <w:r w:rsidR="00A1551D" w:rsidRPr="00DC1408">
        <w:rPr>
          <w:rFonts w:cs="Arial"/>
          <w:lang w:eastAsia="en-GB"/>
        </w:rPr>
        <w:t xml:space="preserve">nt. The development would therefore undermine the suburban </w:t>
      </w:r>
      <w:r w:rsidR="00242DA2" w:rsidRPr="00DC1408">
        <w:rPr>
          <w:rFonts w:cs="Arial"/>
          <w:lang w:eastAsia="en-GB"/>
        </w:rPr>
        <w:t>grain and character of the area, a point specifically addressed by the previous appeal inspector</w:t>
      </w:r>
      <w:r w:rsidR="00E22BF7" w:rsidRPr="00DC1408">
        <w:rPr>
          <w:rFonts w:cs="Arial"/>
          <w:lang w:eastAsia="en-GB"/>
        </w:rPr>
        <w:t xml:space="preserve">: </w:t>
      </w:r>
      <w:r w:rsidR="00A1551D" w:rsidRPr="00DC1408">
        <w:rPr>
          <w:rFonts w:cs="Arial"/>
          <w:lang w:eastAsia="en-GB"/>
        </w:rPr>
        <w:t xml:space="preserve"> </w:t>
      </w:r>
    </w:p>
    <w:p w14:paraId="21E6E884" w14:textId="77777777" w:rsidR="00AF32F5" w:rsidRPr="00AF32F5" w:rsidRDefault="00AF32F5" w:rsidP="00AF32F5">
      <w:pPr>
        <w:pStyle w:val="ListParagraph"/>
        <w:rPr>
          <w:rFonts w:cs="Arial"/>
          <w:i/>
          <w:iCs/>
          <w:lang w:eastAsia="en-GB"/>
        </w:rPr>
      </w:pPr>
    </w:p>
    <w:p w14:paraId="0DB99CAD" w14:textId="77777777" w:rsidR="00AF32F5" w:rsidRDefault="00E22BF7" w:rsidP="00AF32F5">
      <w:pPr>
        <w:pStyle w:val="ListParagraph"/>
        <w:tabs>
          <w:tab w:val="left" w:pos="567"/>
        </w:tabs>
        <w:ind w:left="426"/>
        <w:rPr>
          <w:rFonts w:cs="Arial"/>
          <w:i/>
          <w:iCs/>
          <w:lang w:eastAsia="en-GB"/>
        </w:rPr>
      </w:pPr>
      <w:r w:rsidRPr="00AF32F5">
        <w:rPr>
          <w:rFonts w:cs="Arial"/>
          <w:i/>
          <w:iCs/>
          <w:lang w:eastAsia="en-GB"/>
        </w:rPr>
        <w:t>Considering their use as self-contained residential units, the siting and scale of the buildings and the resulting small plot sizes would be contrary to the spacious suburban grain of development that characterises this area. Moreover, there would be more intensive use of the gardens to meet the requirements of occupiers of the annexes and the houses, and there is likely to be a material increase in comings and goings. On the evidence before me, such intensive use of the site would not be in keeping with the character of the area. Cumulatively, I find the increased activity from two back-land residential units likely to result in disturbance to adjoining occupiers.</w:t>
      </w:r>
    </w:p>
    <w:p w14:paraId="177CE0A4" w14:textId="77777777" w:rsidR="00AF32F5" w:rsidRDefault="00AF32F5" w:rsidP="00AF32F5">
      <w:pPr>
        <w:pStyle w:val="ListParagraph"/>
        <w:tabs>
          <w:tab w:val="left" w:pos="567"/>
        </w:tabs>
        <w:ind w:left="426"/>
        <w:rPr>
          <w:rFonts w:cs="Arial"/>
          <w:i/>
          <w:iCs/>
          <w:lang w:eastAsia="en-GB"/>
        </w:rPr>
      </w:pPr>
    </w:p>
    <w:p w14:paraId="1F4C6349" w14:textId="591BB85E" w:rsidR="00E22BF7" w:rsidRPr="00AF32F5" w:rsidRDefault="00E22BF7" w:rsidP="00AF32F5">
      <w:pPr>
        <w:pStyle w:val="ListParagraph"/>
        <w:tabs>
          <w:tab w:val="left" w:pos="567"/>
        </w:tabs>
        <w:ind w:left="426"/>
        <w:rPr>
          <w:rFonts w:cs="Arial"/>
          <w:lang w:eastAsia="en-GB"/>
        </w:rPr>
      </w:pPr>
      <w:r w:rsidRPr="00AF32F5">
        <w:rPr>
          <w:rFonts w:cs="Arial"/>
          <w:i/>
          <w:iCs/>
          <w:lang w:eastAsia="en-GB"/>
        </w:rPr>
        <w:t>Concluding on this main issue, I find that the proposal would constitute two separate, self-contained units of residential accommodation, rather than ancillary uses. I have found that this would have an unacceptable effect on the character of the locality and on the living conditions of neighbouring occupiers.</w:t>
      </w:r>
    </w:p>
    <w:p w14:paraId="34E5449A" w14:textId="77777777" w:rsidR="00E22BF7" w:rsidRDefault="00E22BF7" w:rsidP="008E0835">
      <w:pPr>
        <w:tabs>
          <w:tab w:val="left" w:pos="1092"/>
        </w:tabs>
        <w:rPr>
          <w:rFonts w:cs="Arial"/>
          <w:lang w:eastAsia="en-GB"/>
        </w:rPr>
      </w:pPr>
    </w:p>
    <w:p w14:paraId="48788A5F" w14:textId="3387DAB6" w:rsidR="00E22BF7" w:rsidRDefault="00E22BF7" w:rsidP="00C564E4">
      <w:pPr>
        <w:tabs>
          <w:tab w:val="left" w:pos="1092"/>
        </w:tabs>
        <w:ind w:left="709" w:hanging="567"/>
        <w:rPr>
          <w:rFonts w:cs="Arial"/>
          <w:lang w:eastAsia="en-GB"/>
        </w:rPr>
      </w:pPr>
      <w:r>
        <w:rPr>
          <w:rFonts w:cs="Arial"/>
          <w:lang w:eastAsia="en-GB"/>
        </w:rPr>
        <w:t xml:space="preserve">2.11 </w:t>
      </w:r>
      <w:r w:rsidR="00A3738F">
        <w:rPr>
          <w:rFonts w:cs="Arial"/>
          <w:lang w:eastAsia="en-GB"/>
        </w:rPr>
        <w:t>For the reasons set out in the preceding section of the LPA’s SOC t</w:t>
      </w:r>
      <w:r w:rsidR="00E173DB">
        <w:rPr>
          <w:rFonts w:cs="Arial"/>
          <w:lang w:eastAsia="en-GB"/>
        </w:rPr>
        <w:t xml:space="preserve">he amendments made to the proposals to remove the kitchenette would not </w:t>
      </w:r>
      <w:r w:rsidR="00B80FB0">
        <w:rPr>
          <w:rFonts w:cs="Arial"/>
          <w:lang w:eastAsia="en-GB"/>
        </w:rPr>
        <w:t xml:space="preserve">alter the potential </w:t>
      </w:r>
      <w:r w:rsidR="00B97D60">
        <w:rPr>
          <w:rFonts w:cs="Arial"/>
          <w:lang w:eastAsia="en-GB"/>
        </w:rPr>
        <w:t xml:space="preserve">harm to the character of the area, as outlined in the officers delegated report and by the previous appeal inspector </w:t>
      </w:r>
      <w:r w:rsidR="00C564E4">
        <w:rPr>
          <w:rFonts w:cs="Arial"/>
          <w:lang w:eastAsia="en-GB"/>
        </w:rPr>
        <w:t xml:space="preserve">and the development would be </w:t>
      </w:r>
      <w:r w:rsidR="00A3738F" w:rsidRPr="00A3738F">
        <w:rPr>
          <w:rFonts w:cs="Arial"/>
          <w:lang w:eastAsia="en-GB"/>
        </w:rPr>
        <w:t>contrary to the National Planning Policy Framework (2024), Policies D1, D3, D4, and D6 of the London Plan (2021), and Policies DMH 6, DMHD 2, and DMHB 11 of the Hillingdon Local Plan: Part Two - Development Management Policies (2020).</w:t>
      </w:r>
    </w:p>
    <w:p w14:paraId="52D30E81" w14:textId="77777777" w:rsidR="00C564E4" w:rsidRDefault="00C564E4" w:rsidP="00C564E4">
      <w:pPr>
        <w:tabs>
          <w:tab w:val="left" w:pos="1092"/>
        </w:tabs>
        <w:ind w:left="709" w:hanging="567"/>
        <w:rPr>
          <w:rFonts w:cs="Arial"/>
          <w:lang w:eastAsia="en-GB"/>
        </w:rPr>
      </w:pPr>
    </w:p>
    <w:p w14:paraId="1413D8B9" w14:textId="6FF36BA8" w:rsidR="00A26EB1" w:rsidRPr="00A26EB1" w:rsidRDefault="00A26EB1" w:rsidP="00C564E4">
      <w:pPr>
        <w:tabs>
          <w:tab w:val="left" w:pos="1092"/>
        </w:tabs>
        <w:ind w:left="709" w:hanging="567"/>
        <w:rPr>
          <w:rFonts w:cs="Arial"/>
          <w:u w:val="single"/>
          <w:lang w:eastAsia="en-GB"/>
        </w:rPr>
      </w:pPr>
      <w:r w:rsidRPr="00A26EB1">
        <w:rPr>
          <w:rFonts w:cs="Arial"/>
          <w:u w:val="single"/>
          <w:lang w:eastAsia="en-GB"/>
        </w:rPr>
        <w:t xml:space="preserve">Impact on Residential Amenity </w:t>
      </w:r>
    </w:p>
    <w:p w14:paraId="0E0CDB2B" w14:textId="77777777" w:rsidR="00A26EB1" w:rsidRDefault="00A26EB1" w:rsidP="00C564E4">
      <w:pPr>
        <w:tabs>
          <w:tab w:val="left" w:pos="1092"/>
        </w:tabs>
        <w:ind w:left="709" w:hanging="567"/>
        <w:rPr>
          <w:rFonts w:cs="Arial"/>
          <w:lang w:eastAsia="en-GB"/>
        </w:rPr>
      </w:pPr>
    </w:p>
    <w:p w14:paraId="361FA01E" w14:textId="702D895C" w:rsidR="008D1BD4" w:rsidRDefault="002E44BF">
      <w:pPr>
        <w:pStyle w:val="ListParagraph"/>
        <w:numPr>
          <w:ilvl w:val="1"/>
          <w:numId w:val="6"/>
        </w:numPr>
        <w:tabs>
          <w:tab w:val="left" w:pos="1092"/>
        </w:tabs>
        <w:ind w:left="709" w:hanging="567"/>
        <w:rPr>
          <w:rFonts w:cs="Arial"/>
          <w:lang w:eastAsia="en-GB"/>
        </w:rPr>
      </w:pPr>
      <w:r w:rsidRPr="00E80D10">
        <w:rPr>
          <w:rFonts w:cs="Arial"/>
          <w:lang w:eastAsia="en-GB"/>
        </w:rPr>
        <w:t xml:space="preserve">The appellants </w:t>
      </w:r>
      <w:r w:rsidR="00E80D10">
        <w:rPr>
          <w:rFonts w:cs="Arial"/>
          <w:lang w:eastAsia="en-GB"/>
        </w:rPr>
        <w:t xml:space="preserve">SOC outlines that the </w:t>
      </w:r>
      <w:r w:rsidR="00120EF7" w:rsidRPr="00E80D10">
        <w:rPr>
          <w:rFonts w:cs="Arial"/>
          <w:lang w:eastAsia="en-GB"/>
        </w:rPr>
        <w:t xml:space="preserve">suggestion that the proposal would result in “increased activity, noise and disturbance” is unsupported by any evidence and contradicts both the Inspector’s previous findings and the Council’s earlier assessment. </w:t>
      </w:r>
      <w:r w:rsidR="003E3BA5">
        <w:rPr>
          <w:rFonts w:cs="Arial"/>
          <w:lang w:eastAsia="en-GB"/>
        </w:rPr>
        <w:t>This assertion is incorrect as the inspector comment</w:t>
      </w:r>
      <w:r w:rsidR="00734019">
        <w:rPr>
          <w:rFonts w:cs="Arial"/>
          <w:lang w:eastAsia="en-GB"/>
        </w:rPr>
        <w:t xml:space="preserve">s that: </w:t>
      </w:r>
    </w:p>
    <w:p w14:paraId="3BB9F97D" w14:textId="77777777" w:rsidR="008D1BD4" w:rsidRDefault="008D1BD4" w:rsidP="008D1BD4">
      <w:pPr>
        <w:pStyle w:val="ListParagraph"/>
        <w:tabs>
          <w:tab w:val="left" w:pos="1092"/>
        </w:tabs>
        <w:ind w:left="709"/>
        <w:rPr>
          <w:rFonts w:cs="Arial"/>
          <w:lang w:eastAsia="en-GB"/>
        </w:rPr>
      </w:pPr>
    </w:p>
    <w:p w14:paraId="2FBB06B8" w14:textId="64DECDDA" w:rsidR="00A26EB1" w:rsidRDefault="008D1BD4" w:rsidP="005A1B70">
      <w:pPr>
        <w:pStyle w:val="ListParagraph"/>
        <w:tabs>
          <w:tab w:val="left" w:pos="1092"/>
        </w:tabs>
        <w:ind w:left="709"/>
        <w:rPr>
          <w:rFonts w:cs="Arial"/>
          <w:i/>
          <w:iCs/>
          <w:lang w:eastAsia="en-GB"/>
        </w:rPr>
      </w:pPr>
      <w:r w:rsidRPr="008D1BD4">
        <w:rPr>
          <w:rFonts w:cs="Arial"/>
          <w:i/>
          <w:iCs/>
          <w:lang w:eastAsia="en-GB"/>
        </w:rPr>
        <w:t>there would be more intensive use of the gardens to meet the requirements of occupiers of the annexes and the houses, and there is likely to be a material increase in comings and goings. On the evidence before me, such intensive use of the site would not be in keeping with the character of the area. Cumulatively, I find the increased activity from two back-land residential units likely to result in disturbance to adjoining occupiers.</w:t>
      </w:r>
    </w:p>
    <w:p w14:paraId="64185D57" w14:textId="77777777" w:rsidR="005A1B70" w:rsidRDefault="005A1B70" w:rsidP="005A1B70">
      <w:pPr>
        <w:pStyle w:val="ListParagraph"/>
        <w:tabs>
          <w:tab w:val="left" w:pos="1092"/>
        </w:tabs>
        <w:ind w:left="709"/>
        <w:rPr>
          <w:rFonts w:cs="Arial"/>
          <w:i/>
          <w:iCs/>
          <w:lang w:eastAsia="en-GB"/>
        </w:rPr>
      </w:pPr>
    </w:p>
    <w:p w14:paraId="42BC3AAE" w14:textId="662CEDA6" w:rsidR="005A1B70" w:rsidRPr="005A1B70" w:rsidRDefault="005A1B70" w:rsidP="005A1B70">
      <w:pPr>
        <w:pStyle w:val="ListParagraph"/>
        <w:tabs>
          <w:tab w:val="left" w:pos="1092"/>
        </w:tabs>
        <w:ind w:left="709"/>
        <w:rPr>
          <w:rFonts w:cs="Arial"/>
          <w:i/>
          <w:iCs/>
          <w:lang w:eastAsia="en-GB"/>
        </w:rPr>
      </w:pPr>
      <w:r w:rsidRPr="005A1B70">
        <w:rPr>
          <w:rFonts w:cs="Arial"/>
          <w:i/>
          <w:iCs/>
          <w:lang w:eastAsia="en-GB"/>
        </w:rPr>
        <w:lastRenderedPageBreak/>
        <w:t>Concluding on this main issue, I find that the proposal would constitute two separate, self-contained units of residential accommodation, rather than ancillary uses. I have found that this would have an unacceptable effect on the character of the locality and on the living conditions of neighbouring occupiers. The proposal would conflict with relevant provisions of Policy DMH 6, DMHD 2 and DMHB 11 of the Local Plan and Policies D1, D3, D4, and D6 of the London Plan (2021). In summary, these policies seek the most appropriate form of development that responds to a site’s context and to maintain neighbouring residential amenity.</w:t>
      </w:r>
    </w:p>
    <w:p w14:paraId="48995C0C" w14:textId="77777777" w:rsidR="000B00D5" w:rsidRDefault="000B00D5" w:rsidP="00C564E4">
      <w:pPr>
        <w:tabs>
          <w:tab w:val="left" w:pos="1092"/>
        </w:tabs>
        <w:ind w:left="709" w:hanging="567"/>
        <w:rPr>
          <w:rFonts w:cs="Arial"/>
          <w:lang w:eastAsia="en-GB"/>
        </w:rPr>
      </w:pPr>
    </w:p>
    <w:p w14:paraId="4C0123B5" w14:textId="77777777" w:rsidR="00EB3C78" w:rsidRDefault="00B438B3">
      <w:pPr>
        <w:pStyle w:val="ListParagraph"/>
        <w:numPr>
          <w:ilvl w:val="1"/>
          <w:numId w:val="6"/>
        </w:numPr>
        <w:tabs>
          <w:tab w:val="left" w:pos="1092"/>
        </w:tabs>
        <w:ind w:left="851" w:hanging="709"/>
        <w:rPr>
          <w:rFonts w:cs="Arial"/>
          <w:lang w:eastAsia="en-GB"/>
        </w:rPr>
      </w:pPr>
      <w:r w:rsidRPr="003C6270">
        <w:rPr>
          <w:rFonts w:cs="Arial"/>
          <w:lang w:eastAsia="en-GB"/>
        </w:rPr>
        <w:t xml:space="preserve">As noted in the officer’s report, access to the outbuildings immediately adjoins the side elevation of Nos.16 and 19 Wilmar Close and any use of the outbuildings as separate living accommodation would have a particularly negative impact on the amenity of the occupiers of these properties. There would also be a notably negative impact on the amenity of the occupiers of No.6 Pillions Close which adjoins the outbuilding and includes habitable windows, serving living spaces which face the </w:t>
      </w:r>
      <w:r w:rsidR="00201223" w:rsidRPr="003C6270">
        <w:rPr>
          <w:rFonts w:cs="Arial"/>
          <w:lang w:eastAsia="en-GB"/>
        </w:rPr>
        <w:t>site. The</w:t>
      </w:r>
      <w:r w:rsidR="008C08B0" w:rsidRPr="003C6270">
        <w:rPr>
          <w:rFonts w:cs="Arial"/>
          <w:lang w:eastAsia="en-GB"/>
        </w:rPr>
        <w:t xml:space="preserve"> appellants contention that there would be no harm to the residential amenity of </w:t>
      </w:r>
      <w:r w:rsidR="00201223" w:rsidRPr="003C6270">
        <w:rPr>
          <w:rFonts w:cs="Arial"/>
          <w:lang w:eastAsia="en-GB"/>
        </w:rPr>
        <w:t>adjoining properties is reliant on the application of a planning condition restricting the use to one</w:t>
      </w:r>
      <w:r w:rsidR="003C6270" w:rsidRPr="003C6270">
        <w:rPr>
          <w:rFonts w:cs="Arial"/>
          <w:lang w:eastAsia="en-GB"/>
        </w:rPr>
        <w:t xml:space="preserve"> which would be ancillary to that of the host dwellings. </w:t>
      </w:r>
      <w:r w:rsidR="003C6270">
        <w:rPr>
          <w:rFonts w:cs="Arial"/>
          <w:lang w:eastAsia="en-GB"/>
        </w:rPr>
        <w:t>As noted, the Council consider that the application of such a condition would fail the tests set out in the NPPF</w:t>
      </w:r>
      <w:r w:rsidR="00BB4FF4">
        <w:rPr>
          <w:rFonts w:cs="Arial"/>
          <w:lang w:eastAsia="en-GB"/>
        </w:rPr>
        <w:t xml:space="preserve">. On this basis the Council have considered the impact of </w:t>
      </w:r>
      <w:r w:rsidR="00EB4318">
        <w:rPr>
          <w:rFonts w:cs="Arial"/>
          <w:lang w:eastAsia="en-GB"/>
        </w:rPr>
        <w:t>unrestricted residential occupancy</w:t>
      </w:r>
      <w:r w:rsidR="00E34DEB">
        <w:rPr>
          <w:rFonts w:cs="Arial"/>
          <w:lang w:eastAsia="en-GB"/>
        </w:rPr>
        <w:t xml:space="preserve">, which is deemed to be unacceptable for the reasons </w:t>
      </w:r>
      <w:r w:rsidR="003939E3">
        <w:rPr>
          <w:rFonts w:cs="Arial"/>
          <w:lang w:eastAsia="en-GB"/>
        </w:rPr>
        <w:t xml:space="preserve">cited above. Considering the impact of the </w:t>
      </w:r>
      <w:r w:rsidR="006A10AF">
        <w:rPr>
          <w:rFonts w:cs="Arial"/>
          <w:lang w:eastAsia="en-GB"/>
        </w:rPr>
        <w:t xml:space="preserve">occupation of the outbuildings specifically by the elderly parents </w:t>
      </w:r>
      <w:r w:rsidR="00194C6A">
        <w:rPr>
          <w:rFonts w:cs="Arial"/>
          <w:lang w:eastAsia="en-GB"/>
        </w:rPr>
        <w:t xml:space="preserve">of potential future occupiers of the properties would be </w:t>
      </w:r>
      <w:r w:rsidR="00EB3C78">
        <w:rPr>
          <w:rFonts w:cs="Arial"/>
          <w:lang w:eastAsia="en-GB"/>
        </w:rPr>
        <w:t xml:space="preserve">unsound. </w:t>
      </w:r>
    </w:p>
    <w:p w14:paraId="0AF56AE4" w14:textId="77777777" w:rsidR="00EB3C78" w:rsidRDefault="00EB3C78" w:rsidP="00EB3C78">
      <w:pPr>
        <w:pStyle w:val="ListParagraph"/>
        <w:tabs>
          <w:tab w:val="left" w:pos="1092"/>
        </w:tabs>
        <w:ind w:left="851"/>
        <w:rPr>
          <w:rFonts w:cs="Arial"/>
          <w:lang w:eastAsia="en-GB"/>
        </w:rPr>
      </w:pPr>
    </w:p>
    <w:p w14:paraId="00CEB19A" w14:textId="3A73AE1E" w:rsidR="00B438B3" w:rsidRPr="00EB3C78" w:rsidRDefault="00EB3C78">
      <w:pPr>
        <w:pStyle w:val="ListParagraph"/>
        <w:numPr>
          <w:ilvl w:val="1"/>
          <w:numId w:val="6"/>
        </w:numPr>
        <w:tabs>
          <w:tab w:val="left" w:pos="1092"/>
        </w:tabs>
        <w:ind w:left="851" w:hanging="709"/>
        <w:rPr>
          <w:rFonts w:cs="Arial"/>
          <w:lang w:eastAsia="en-GB"/>
        </w:rPr>
      </w:pPr>
      <w:r w:rsidRPr="00EB3C78">
        <w:rPr>
          <w:rFonts w:cs="Arial"/>
          <w:lang w:eastAsia="en-GB"/>
        </w:rPr>
        <w:t>The Council therefore reiterate that the proposals are contrary to Policy DMHB 11 of the Local Plan which seeks to ensure that development proposals do not adversely impact on the amenity of adjacent properties.</w:t>
      </w:r>
    </w:p>
    <w:p w14:paraId="0F8E1111" w14:textId="77777777" w:rsidR="00B438B3" w:rsidRDefault="00B438B3" w:rsidP="00C564E4">
      <w:pPr>
        <w:tabs>
          <w:tab w:val="left" w:pos="1092"/>
        </w:tabs>
        <w:ind w:left="709" w:hanging="567"/>
        <w:rPr>
          <w:rFonts w:cs="Arial"/>
          <w:lang w:eastAsia="en-GB"/>
        </w:rPr>
      </w:pPr>
    </w:p>
    <w:p w14:paraId="0FE7E4A6" w14:textId="7FEE4AAF" w:rsidR="00C564E4" w:rsidRPr="005E5262" w:rsidRDefault="00C564E4" w:rsidP="00C564E4">
      <w:pPr>
        <w:tabs>
          <w:tab w:val="left" w:pos="1092"/>
        </w:tabs>
        <w:ind w:left="709" w:hanging="567"/>
        <w:rPr>
          <w:rFonts w:cs="Arial"/>
          <w:u w:val="single"/>
          <w:lang w:eastAsia="en-GB"/>
        </w:rPr>
      </w:pPr>
      <w:r w:rsidRPr="005E5262">
        <w:rPr>
          <w:rFonts w:cs="Arial"/>
          <w:u w:val="single"/>
          <w:lang w:eastAsia="en-GB"/>
        </w:rPr>
        <w:t xml:space="preserve">Impact on </w:t>
      </w:r>
      <w:r w:rsidR="005E5262" w:rsidRPr="005E5262">
        <w:rPr>
          <w:rFonts w:cs="Arial"/>
          <w:u w:val="single"/>
          <w:lang w:eastAsia="en-GB"/>
        </w:rPr>
        <w:t xml:space="preserve">Highway Safety and Amenity </w:t>
      </w:r>
    </w:p>
    <w:p w14:paraId="51184655" w14:textId="77777777" w:rsidR="008F4029" w:rsidRDefault="008F4029" w:rsidP="008F4029">
      <w:pPr>
        <w:tabs>
          <w:tab w:val="left" w:pos="1092"/>
        </w:tabs>
        <w:ind w:left="284" w:hanging="426"/>
        <w:rPr>
          <w:rFonts w:cs="Arial"/>
          <w:lang w:eastAsia="en-GB"/>
        </w:rPr>
      </w:pPr>
    </w:p>
    <w:p w14:paraId="30817613" w14:textId="21FCF2AA" w:rsidR="00E9023D" w:rsidRDefault="00D11D15">
      <w:pPr>
        <w:pStyle w:val="ListParagraph"/>
        <w:numPr>
          <w:ilvl w:val="1"/>
          <w:numId w:val="6"/>
        </w:numPr>
        <w:tabs>
          <w:tab w:val="left" w:pos="1092"/>
        </w:tabs>
        <w:ind w:left="851" w:hanging="709"/>
        <w:rPr>
          <w:rFonts w:cs="Arial"/>
          <w:lang w:eastAsia="en-GB"/>
        </w:rPr>
      </w:pPr>
      <w:r w:rsidRPr="00392D35">
        <w:rPr>
          <w:rFonts w:cs="Arial"/>
          <w:lang w:eastAsia="en-GB"/>
        </w:rPr>
        <w:t xml:space="preserve">The Councils second reason for refusal </w:t>
      </w:r>
      <w:r w:rsidR="00E46008" w:rsidRPr="00392D35">
        <w:rPr>
          <w:rFonts w:cs="Arial"/>
          <w:lang w:eastAsia="en-GB"/>
        </w:rPr>
        <w:t xml:space="preserve">concerns the proposed residential use of the outbuildings </w:t>
      </w:r>
      <w:r w:rsidR="008F4029" w:rsidRPr="00392D35">
        <w:rPr>
          <w:rFonts w:cs="Arial"/>
          <w:lang w:eastAsia="en-GB"/>
        </w:rPr>
        <w:t xml:space="preserve">and </w:t>
      </w:r>
      <w:r w:rsidR="00E46008" w:rsidRPr="00392D35">
        <w:rPr>
          <w:rFonts w:cs="Arial"/>
          <w:lang w:eastAsia="en-GB"/>
        </w:rPr>
        <w:t>additional demand for parking which cannot be provided on site and would therefore result in potential displacement of vehicles within the public highway</w:t>
      </w:r>
      <w:r w:rsidR="008F4029" w:rsidRPr="00392D35">
        <w:rPr>
          <w:rFonts w:cs="Arial"/>
          <w:lang w:eastAsia="en-GB"/>
        </w:rPr>
        <w:t>.</w:t>
      </w:r>
      <w:r w:rsidR="00264626" w:rsidRPr="00392D35">
        <w:rPr>
          <w:rFonts w:cs="Arial"/>
          <w:lang w:eastAsia="en-GB"/>
        </w:rPr>
        <w:t xml:space="preserve"> The appellant </w:t>
      </w:r>
      <w:r w:rsidR="00837B69" w:rsidRPr="00392D35">
        <w:rPr>
          <w:rFonts w:cs="Arial"/>
          <w:lang w:eastAsia="en-GB"/>
        </w:rPr>
        <w:t xml:space="preserve">again </w:t>
      </w:r>
      <w:r w:rsidR="00264626" w:rsidRPr="00392D35">
        <w:rPr>
          <w:rFonts w:cs="Arial"/>
          <w:lang w:eastAsia="en-GB"/>
        </w:rPr>
        <w:t>re</w:t>
      </w:r>
      <w:r w:rsidR="00D825E6" w:rsidRPr="00392D35">
        <w:rPr>
          <w:rFonts w:cs="Arial"/>
          <w:lang w:eastAsia="en-GB"/>
        </w:rPr>
        <w:t xml:space="preserve">fers to the specific circumstances pertaining </w:t>
      </w:r>
      <w:r w:rsidR="00FC65BE" w:rsidRPr="00392D35">
        <w:rPr>
          <w:rFonts w:cs="Arial"/>
          <w:lang w:eastAsia="en-GB"/>
        </w:rPr>
        <w:t xml:space="preserve">to future use of the </w:t>
      </w:r>
      <w:r w:rsidR="000344D0" w:rsidRPr="00392D35">
        <w:rPr>
          <w:rFonts w:cs="Arial"/>
          <w:lang w:eastAsia="en-GB"/>
        </w:rPr>
        <w:t>annexes by elderly family members</w:t>
      </w:r>
      <w:r w:rsidR="00C11733" w:rsidRPr="00392D35">
        <w:rPr>
          <w:rFonts w:cs="Arial"/>
          <w:lang w:eastAsia="en-GB"/>
        </w:rPr>
        <w:t xml:space="preserve">. </w:t>
      </w:r>
      <w:r w:rsidR="002852D6" w:rsidRPr="00392D35">
        <w:rPr>
          <w:rFonts w:cs="Arial"/>
          <w:lang w:eastAsia="en-GB"/>
        </w:rPr>
        <w:t xml:space="preserve">The Highways Authority </w:t>
      </w:r>
      <w:r w:rsidR="0089668E" w:rsidRPr="00392D35">
        <w:rPr>
          <w:rFonts w:cs="Arial"/>
          <w:lang w:eastAsia="en-GB"/>
        </w:rPr>
        <w:t>assessed</w:t>
      </w:r>
      <w:r w:rsidR="002852D6" w:rsidRPr="00392D35">
        <w:rPr>
          <w:rFonts w:cs="Arial"/>
          <w:lang w:eastAsia="en-GB"/>
        </w:rPr>
        <w:t xml:space="preserve"> the proposals </w:t>
      </w:r>
      <w:r w:rsidR="0089668E" w:rsidRPr="00392D35">
        <w:rPr>
          <w:rFonts w:cs="Arial"/>
          <w:lang w:eastAsia="en-GB"/>
        </w:rPr>
        <w:t xml:space="preserve">on the basis that the accommodation would </w:t>
      </w:r>
      <w:r w:rsidR="008D77D0" w:rsidRPr="00392D35">
        <w:rPr>
          <w:rFonts w:cs="Arial"/>
          <w:lang w:eastAsia="en-GB"/>
        </w:rPr>
        <w:t xml:space="preserve">be ancillary to the use of the main dwelling, </w:t>
      </w:r>
      <w:r w:rsidR="00392D35" w:rsidRPr="00392D35">
        <w:rPr>
          <w:rFonts w:cs="Arial"/>
          <w:lang w:eastAsia="en-GB"/>
        </w:rPr>
        <w:t xml:space="preserve">and on this basis, it was considered that the development would not increase parking pressure. </w:t>
      </w:r>
    </w:p>
    <w:p w14:paraId="7820B9C9" w14:textId="77777777" w:rsidR="00E9023D" w:rsidRDefault="00E9023D" w:rsidP="00E9023D">
      <w:pPr>
        <w:pStyle w:val="ListParagraph"/>
        <w:tabs>
          <w:tab w:val="left" w:pos="1092"/>
        </w:tabs>
        <w:ind w:left="851"/>
        <w:rPr>
          <w:rFonts w:cs="Arial"/>
          <w:lang w:eastAsia="en-GB"/>
        </w:rPr>
      </w:pPr>
    </w:p>
    <w:p w14:paraId="766A32EF" w14:textId="366495D0" w:rsidR="00DC511A" w:rsidRPr="00D7364C" w:rsidRDefault="00363760">
      <w:pPr>
        <w:pStyle w:val="ListParagraph"/>
        <w:numPr>
          <w:ilvl w:val="1"/>
          <w:numId w:val="6"/>
        </w:numPr>
        <w:tabs>
          <w:tab w:val="left" w:pos="1092"/>
        </w:tabs>
        <w:ind w:left="851" w:hanging="709"/>
        <w:rPr>
          <w:rFonts w:cs="Arial"/>
          <w:lang w:eastAsia="en-GB"/>
        </w:rPr>
      </w:pPr>
      <w:r w:rsidRPr="00363760">
        <w:rPr>
          <w:rFonts w:cs="Arial"/>
          <w:lang w:eastAsia="en-GB"/>
        </w:rPr>
        <w:t xml:space="preserve">For the reasons discussed above, </w:t>
      </w:r>
      <w:r w:rsidR="00F033C9">
        <w:rPr>
          <w:rFonts w:cs="Arial"/>
          <w:lang w:eastAsia="en-GB"/>
        </w:rPr>
        <w:t xml:space="preserve">it cannot reliably be conditioned that the </w:t>
      </w:r>
      <w:r w:rsidR="00836E59">
        <w:rPr>
          <w:rFonts w:cs="Arial"/>
          <w:lang w:eastAsia="en-GB"/>
        </w:rPr>
        <w:t xml:space="preserve">outbuildings would be used for purposes ancillary to the use of the host dwellings and </w:t>
      </w:r>
      <w:r w:rsidR="00DD7AEE" w:rsidRPr="00D7364C">
        <w:rPr>
          <w:rFonts w:cs="Arial"/>
          <w:lang w:eastAsia="en-GB"/>
        </w:rPr>
        <w:t xml:space="preserve">it is therefore appropriate to consider the </w:t>
      </w:r>
      <w:r w:rsidR="00D50270" w:rsidRPr="00D7364C">
        <w:rPr>
          <w:rFonts w:cs="Arial"/>
          <w:lang w:eastAsia="en-GB"/>
        </w:rPr>
        <w:t xml:space="preserve">highways </w:t>
      </w:r>
      <w:r w:rsidR="00DD7AEE" w:rsidRPr="00D7364C">
        <w:rPr>
          <w:rFonts w:cs="Arial"/>
          <w:lang w:eastAsia="en-GB"/>
        </w:rPr>
        <w:t xml:space="preserve">impact of </w:t>
      </w:r>
      <w:r w:rsidR="00817032" w:rsidRPr="00D7364C">
        <w:rPr>
          <w:rFonts w:cs="Arial"/>
          <w:lang w:eastAsia="en-GB"/>
        </w:rPr>
        <w:t xml:space="preserve">independent </w:t>
      </w:r>
      <w:r w:rsidR="00D50270" w:rsidRPr="00D7364C">
        <w:rPr>
          <w:rFonts w:cs="Arial"/>
          <w:lang w:eastAsia="en-GB"/>
        </w:rPr>
        <w:t xml:space="preserve">residential </w:t>
      </w:r>
      <w:r w:rsidR="00817032" w:rsidRPr="00D7364C">
        <w:rPr>
          <w:rFonts w:cs="Arial"/>
          <w:lang w:eastAsia="en-GB"/>
        </w:rPr>
        <w:t xml:space="preserve">use </w:t>
      </w:r>
      <w:r w:rsidR="00D50270" w:rsidRPr="00D7364C">
        <w:rPr>
          <w:rFonts w:cs="Arial"/>
          <w:lang w:eastAsia="en-GB"/>
        </w:rPr>
        <w:t xml:space="preserve">of the annexes, which </w:t>
      </w:r>
      <w:r w:rsidR="00FF68AB" w:rsidRPr="00D7364C">
        <w:rPr>
          <w:rFonts w:cs="Arial"/>
          <w:lang w:eastAsia="en-GB"/>
        </w:rPr>
        <w:t xml:space="preserve">would arise </w:t>
      </w:r>
      <w:r w:rsidR="00E978FF" w:rsidRPr="00D7364C">
        <w:rPr>
          <w:rFonts w:cs="Arial"/>
          <w:lang w:eastAsia="en-GB"/>
        </w:rPr>
        <w:t>because of</w:t>
      </w:r>
      <w:r w:rsidR="00FF68AB" w:rsidRPr="00D7364C">
        <w:rPr>
          <w:rFonts w:cs="Arial"/>
          <w:lang w:eastAsia="en-GB"/>
        </w:rPr>
        <w:t xml:space="preserve"> increased demand for parking. </w:t>
      </w:r>
      <w:r w:rsidR="006270E7" w:rsidRPr="00D7364C">
        <w:rPr>
          <w:rFonts w:cs="Arial"/>
          <w:lang w:eastAsia="en-GB"/>
        </w:rPr>
        <w:t xml:space="preserve">Additional </w:t>
      </w:r>
      <w:r w:rsidR="00174583" w:rsidRPr="00D7364C">
        <w:rPr>
          <w:rFonts w:cs="Arial"/>
          <w:lang w:eastAsia="en-GB"/>
        </w:rPr>
        <w:t xml:space="preserve">capacity for parking off-street is unlikely to be possible owing the size and dimensions of the existing </w:t>
      </w:r>
      <w:r w:rsidR="00050591" w:rsidRPr="00D7364C">
        <w:rPr>
          <w:rFonts w:cs="Arial"/>
          <w:lang w:eastAsia="en-GB"/>
        </w:rPr>
        <w:t xml:space="preserve">driveways and </w:t>
      </w:r>
      <w:r w:rsidR="00653E0B" w:rsidRPr="00D7364C">
        <w:rPr>
          <w:rFonts w:cs="Arial"/>
          <w:lang w:eastAsia="en-GB"/>
        </w:rPr>
        <w:t xml:space="preserve">therefore </w:t>
      </w:r>
      <w:r w:rsidR="004B73CA" w:rsidRPr="00D7364C">
        <w:rPr>
          <w:rFonts w:cs="Arial"/>
          <w:lang w:eastAsia="en-GB"/>
        </w:rPr>
        <w:t xml:space="preserve">any </w:t>
      </w:r>
      <w:r w:rsidR="006F7206" w:rsidRPr="00D7364C">
        <w:rPr>
          <w:rFonts w:cs="Arial"/>
          <w:lang w:eastAsia="en-GB"/>
        </w:rPr>
        <w:t xml:space="preserve">independent residential use is likely to result in displacement of vehicles onto Wilmar Close. Parking restrictions do not exist on Wilmar </w:t>
      </w:r>
      <w:r w:rsidR="00D7364C" w:rsidRPr="00D7364C">
        <w:rPr>
          <w:rFonts w:cs="Arial"/>
          <w:lang w:eastAsia="en-GB"/>
        </w:rPr>
        <w:t>Close,</w:t>
      </w:r>
      <w:r w:rsidR="00671123" w:rsidRPr="00D7364C">
        <w:rPr>
          <w:rFonts w:cs="Arial"/>
          <w:lang w:eastAsia="en-GB"/>
        </w:rPr>
        <w:t xml:space="preserve"> and </w:t>
      </w:r>
      <w:r w:rsidR="00D7364C">
        <w:rPr>
          <w:rFonts w:cs="Arial"/>
          <w:lang w:eastAsia="en-GB"/>
        </w:rPr>
        <w:t xml:space="preserve">the use of planning </w:t>
      </w:r>
      <w:r w:rsidR="00671123" w:rsidRPr="00D7364C">
        <w:rPr>
          <w:rFonts w:cs="Arial"/>
          <w:lang w:eastAsia="en-GB"/>
        </w:rPr>
        <w:t xml:space="preserve">conditions or a unilateral undertaking cannot be </w:t>
      </w:r>
      <w:r w:rsidR="00032ADF" w:rsidRPr="00D7364C">
        <w:rPr>
          <w:rFonts w:cs="Arial"/>
          <w:lang w:eastAsia="en-GB"/>
        </w:rPr>
        <w:t xml:space="preserve">applied to prevent on-street parking, which would be possible within a controlled parking zone. </w:t>
      </w:r>
      <w:r w:rsidR="00DA354B" w:rsidRPr="00D7364C">
        <w:rPr>
          <w:rFonts w:cs="Arial"/>
          <w:lang w:eastAsia="en-GB"/>
        </w:rPr>
        <w:t xml:space="preserve">The site has a PTAL rating of </w:t>
      </w:r>
      <w:r w:rsidR="00A10D88" w:rsidRPr="00D7364C">
        <w:rPr>
          <w:rFonts w:cs="Arial"/>
          <w:lang w:eastAsia="en-GB"/>
        </w:rPr>
        <w:t xml:space="preserve">2 and whilst </w:t>
      </w:r>
      <w:r w:rsidR="0063182C" w:rsidRPr="00D7364C">
        <w:rPr>
          <w:rFonts w:cs="Arial"/>
          <w:lang w:eastAsia="en-GB"/>
        </w:rPr>
        <w:t xml:space="preserve">the site is relatively close to existing bus stops </w:t>
      </w:r>
      <w:r w:rsidR="0063182C" w:rsidRPr="00D7364C">
        <w:rPr>
          <w:rFonts w:cs="Arial"/>
          <w:lang w:eastAsia="en-GB"/>
        </w:rPr>
        <w:lastRenderedPageBreak/>
        <w:t xml:space="preserve">on the Uxbridge Road, there would be a strong likelihood that future occupiers would </w:t>
      </w:r>
      <w:r w:rsidR="00DC511A" w:rsidRPr="00D7364C">
        <w:rPr>
          <w:rFonts w:cs="Arial"/>
          <w:lang w:eastAsia="en-GB"/>
        </w:rPr>
        <w:t>own a vehicle were the outbuildings to be used independently.</w:t>
      </w:r>
    </w:p>
    <w:p w14:paraId="6330F70E" w14:textId="77777777" w:rsidR="00DC511A" w:rsidRPr="00DC511A" w:rsidRDefault="00DC511A" w:rsidP="00DC511A">
      <w:pPr>
        <w:pStyle w:val="ListParagraph"/>
        <w:rPr>
          <w:rFonts w:cs="Arial"/>
          <w:lang w:eastAsia="en-GB"/>
        </w:rPr>
      </w:pPr>
    </w:p>
    <w:p w14:paraId="2CB6145B" w14:textId="69CD1C14" w:rsidR="008F4029" w:rsidRDefault="001D5206">
      <w:pPr>
        <w:pStyle w:val="ListParagraph"/>
        <w:numPr>
          <w:ilvl w:val="1"/>
          <w:numId w:val="6"/>
        </w:numPr>
        <w:tabs>
          <w:tab w:val="left" w:pos="1092"/>
        </w:tabs>
        <w:ind w:left="851" w:hanging="709"/>
        <w:rPr>
          <w:rFonts w:cs="Arial"/>
          <w:lang w:eastAsia="en-GB"/>
        </w:rPr>
      </w:pPr>
      <w:r w:rsidRPr="00DC511A">
        <w:rPr>
          <w:rFonts w:cs="Arial"/>
          <w:lang w:eastAsia="en-GB"/>
        </w:rPr>
        <w:t xml:space="preserve">Wilmar Close has a narrow carriageway and additional on-street parking resulting from independent use of the outbuildings would </w:t>
      </w:r>
      <w:r w:rsidR="00C7021B" w:rsidRPr="00DC511A">
        <w:rPr>
          <w:rFonts w:cs="Arial"/>
          <w:lang w:eastAsia="en-GB"/>
        </w:rPr>
        <w:t xml:space="preserve">undermine the safe movement of traffic and therefore highway safety and amenity. </w:t>
      </w:r>
      <w:r w:rsidR="007B394F">
        <w:rPr>
          <w:rFonts w:cs="Arial"/>
          <w:lang w:eastAsia="en-GB"/>
        </w:rPr>
        <w:t xml:space="preserve">It is therefore reasonable and sound </w:t>
      </w:r>
      <w:r w:rsidR="007B394F" w:rsidRPr="00634235">
        <w:rPr>
          <w:rFonts w:cs="Arial"/>
          <w:lang w:eastAsia="en-GB"/>
        </w:rPr>
        <w:t xml:space="preserve">to conclude that </w:t>
      </w:r>
      <w:r w:rsidR="00634235">
        <w:rPr>
          <w:rFonts w:cs="Arial"/>
          <w:lang w:eastAsia="en-GB"/>
        </w:rPr>
        <w:t xml:space="preserve">in the absence of the application of a </w:t>
      </w:r>
      <w:r w:rsidR="006D1667">
        <w:rPr>
          <w:rFonts w:cs="Arial"/>
          <w:lang w:eastAsia="en-GB"/>
        </w:rPr>
        <w:t>viable condition restricting use of the outbuilding to purposes that would be ancillary to the use of the main dwellings</w:t>
      </w:r>
      <w:r w:rsidR="00F658E2">
        <w:rPr>
          <w:rFonts w:cs="Arial"/>
          <w:lang w:eastAsia="en-GB"/>
        </w:rPr>
        <w:t xml:space="preserve"> that the development would undermine </w:t>
      </w:r>
      <w:r w:rsidR="000C7B1D" w:rsidRPr="000C7B1D">
        <w:rPr>
          <w:rFonts w:cs="Arial"/>
          <w:lang w:eastAsia="en-GB"/>
        </w:rPr>
        <w:t>highway safety and amenity contrary to Policies DMT1, DMT2 and DMT 6 of the Hillingdon Local Plan: Part Two - Development Management Policies (2020); and Policies T4 and T6.1 of the London Plan 2021.</w:t>
      </w:r>
    </w:p>
    <w:p w14:paraId="300B36A4" w14:textId="77777777" w:rsidR="001343A6" w:rsidRPr="001343A6" w:rsidRDefault="001343A6" w:rsidP="001343A6">
      <w:pPr>
        <w:pStyle w:val="ListParagraph"/>
        <w:rPr>
          <w:rFonts w:cs="Arial"/>
          <w:lang w:eastAsia="en-GB"/>
        </w:rPr>
      </w:pPr>
    </w:p>
    <w:p w14:paraId="20EC9B36" w14:textId="5AB5877D" w:rsidR="001343A6" w:rsidRPr="001343A6" w:rsidRDefault="001343A6" w:rsidP="001343A6">
      <w:pPr>
        <w:tabs>
          <w:tab w:val="left" w:pos="1092"/>
        </w:tabs>
        <w:rPr>
          <w:rFonts w:cs="Arial"/>
          <w:u w:val="single"/>
          <w:lang w:eastAsia="en-GB"/>
        </w:rPr>
      </w:pPr>
      <w:r w:rsidRPr="001343A6">
        <w:rPr>
          <w:rFonts w:cs="Arial"/>
          <w:u w:val="single"/>
          <w:lang w:eastAsia="en-GB"/>
        </w:rPr>
        <w:t xml:space="preserve">Previous Appeals and Determined Applications </w:t>
      </w:r>
    </w:p>
    <w:p w14:paraId="202C7764" w14:textId="77777777" w:rsidR="001343A6" w:rsidRDefault="001343A6" w:rsidP="001343A6">
      <w:pPr>
        <w:tabs>
          <w:tab w:val="left" w:pos="1092"/>
        </w:tabs>
        <w:rPr>
          <w:rFonts w:cs="Arial"/>
          <w:lang w:eastAsia="en-GB"/>
        </w:rPr>
      </w:pPr>
    </w:p>
    <w:p w14:paraId="4BA5A8AA" w14:textId="77777777" w:rsidR="00CD70EE" w:rsidRDefault="002342C5">
      <w:pPr>
        <w:pStyle w:val="ListParagraph"/>
        <w:numPr>
          <w:ilvl w:val="1"/>
          <w:numId w:val="6"/>
        </w:numPr>
        <w:tabs>
          <w:tab w:val="left" w:pos="1092"/>
        </w:tabs>
        <w:ind w:left="851" w:hanging="709"/>
        <w:rPr>
          <w:rFonts w:cs="Arial"/>
          <w:lang w:eastAsia="en-GB"/>
        </w:rPr>
      </w:pPr>
      <w:r w:rsidRPr="005424D4">
        <w:rPr>
          <w:rFonts w:cs="Arial"/>
          <w:lang w:eastAsia="en-GB"/>
        </w:rPr>
        <w:t xml:space="preserve">The appellant cites </w:t>
      </w:r>
      <w:r w:rsidR="005D1420">
        <w:rPr>
          <w:rFonts w:cs="Arial"/>
          <w:lang w:eastAsia="en-GB"/>
        </w:rPr>
        <w:t xml:space="preserve">various </w:t>
      </w:r>
      <w:r w:rsidR="00FB4AD9" w:rsidRPr="005424D4">
        <w:rPr>
          <w:rFonts w:cs="Arial"/>
          <w:lang w:eastAsia="en-GB"/>
        </w:rPr>
        <w:t xml:space="preserve">appeal decisions relating to applications for annexes </w:t>
      </w:r>
      <w:r w:rsidR="00464F6F" w:rsidRPr="005424D4">
        <w:rPr>
          <w:rFonts w:cs="Arial"/>
          <w:lang w:eastAsia="en-GB"/>
        </w:rPr>
        <w:t>in the borough where</w:t>
      </w:r>
      <w:r w:rsidR="00C10705" w:rsidRPr="005424D4">
        <w:rPr>
          <w:rFonts w:cs="Arial"/>
          <w:lang w:eastAsia="en-GB"/>
        </w:rPr>
        <w:t xml:space="preserve">by inspectors have allowed use </w:t>
      </w:r>
      <w:r w:rsidR="004A672C" w:rsidRPr="005424D4">
        <w:rPr>
          <w:rFonts w:cs="Arial"/>
          <w:lang w:eastAsia="en-GB"/>
        </w:rPr>
        <w:t>of outbuilding for ancillary purposes to the host dwellings</w:t>
      </w:r>
      <w:r w:rsidR="00A86035">
        <w:rPr>
          <w:rFonts w:cs="Arial"/>
          <w:lang w:eastAsia="en-GB"/>
        </w:rPr>
        <w:t>, these appeal</w:t>
      </w:r>
      <w:r w:rsidR="005D1420">
        <w:rPr>
          <w:rFonts w:cs="Arial"/>
          <w:lang w:eastAsia="en-GB"/>
        </w:rPr>
        <w:t xml:space="preserve"> decisions</w:t>
      </w:r>
      <w:r w:rsidR="00A86035">
        <w:rPr>
          <w:rFonts w:cs="Arial"/>
          <w:lang w:eastAsia="en-GB"/>
        </w:rPr>
        <w:t xml:space="preserve"> are dated between 2020 and 2026</w:t>
      </w:r>
      <w:r w:rsidR="005D1420">
        <w:rPr>
          <w:rFonts w:cs="Arial"/>
          <w:lang w:eastAsia="en-GB"/>
        </w:rPr>
        <w:t xml:space="preserve"> as well as an</w:t>
      </w:r>
      <w:r w:rsidR="005424D4">
        <w:rPr>
          <w:rFonts w:cs="Arial"/>
          <w:lang w:eastAsia="en-GB"/>
        </w:rPr>
        <w:t xml:space="preserve"> application permitted by the Council at</w:t>
      </w:r>
      <w:r w:rsidR="00A86035">
        <w:rPr>
          <w:rFonts w:cs="Arial"/>
          <w:lang w:eastAsia="en-GB"/>
        </w:rPr>
        <w:t xml:space="preserve"> 17 Lawson Gardens, Pinner (</w:t>
      </w:r>
      <w:r w:rsidR="00EB42BB" w:rsidRPr="00EB42BB">
        <w:rPr>
          <w:rFonts w:cs="Arial"/>
          <w:lang w:eastAsia="en-GB"/>
        </w:rPr>
        <w:t>41959/APP/2025/1428</w:t>
      </w:r>
      <w:r w:rsidR="00EB42BB">
        <w:rPr>
          <w:rFonts w:cs="Arial"/>
          <w:lang w:eastAsia="en-GB"/>
        </w:rPr>
        <w:t xml:space="preserve">). </w:t>
      </w:r>
      <w:r w:rsidR="005D1420">
        <w:rPr>
          <w:rFonts w:cs="Arial"/>
          <w:lang w:eastAsia="en-GB"/>
        </w:rPr>
        <w:t>Individual a</w:t>
      </w:r>
      <w:r w:rsidR="004A672C" w:rsidRPr="00EB42BB">
        <w:rPr>
          <w:rFonts w:cs="Arial"/>
          <w:lang w:eastAsia="en-GB"/>
        </w:rPr>
        <w:t xml:space="preserve">pplications must however be considered on their own merits, considering the </w:t>
      </w:r>
      <w:r w:rsidR="00EB42BB" w:rsidRPr="00EB42BB">
        <w:rPr>
          <w:rFonts w:cs="Arial"/>
          <w:lang w:eastAsia="en-GB"/>
        </w:rPr>
        <w:t>site-specific</w:t>
      </w:r>
      <w:r w:rsidR="004A672C" w:rsidRPr="00EB42BB">
        <w:rPr>
          <w:rFonts w:cs="Arial"/>
          <w:lang w:eastAsia="en-GB"/>
        </w:rPr>
        <w:t xml:space="preserve"> circumstances and </w:t>
      </w:r>
      <w:r w:rsidR="00CD70EE">
        <w:rPr>
          <w:rFonts w:cs="Arial"/>
          <w:lang w:eastAsia="en-GB"/>
        </w:rPr>
        <w:t xml:space="preserve">relevant </w:t>
      </w:r>
      <w:r w:rsidR="004A672C" w:rsidRPr="00EB42BB">
        <w:rPr>
          <w:rFonts w:cs="Arial"/>
          <w:lang w:eastAsia="en-GB"/>
        </w:rPr>
        <w:t>supporting evidence</w:t>
      </w:r>
      <w:r w:rsidR="005424D4" w:rsidRPr="00EB42BB">
        <w:rPr>
          <w:rFonts w:cs="Arial"/>
          <w:lang w:eastAsia="en-GB"/>
        </w:rPr>
        <w:t xml:space="preserve">. </w:t>
      </w:r>
    </w:p>
    <w:p w14:paraId="3097FAFC" w14:textId="77777777" w:rsidR="00CD70EE" w:rsidRDefault="00CD70EE" w:rsidP="00CD70EE">
      <w:pPr>
        <w:pStyle w:val="ListParagraph"/>
        <w:tabs>
          <w:tab w:val="left" w:pos="1092"/>
        </w:tabs>
        <w:ind w:left="851"/>
        <w:rPr>
          <w:rFonts w:cs="Arial"/>
          <w:lang w:eastAsia="en-GB"/>
        </w:rPr>
      </w:pPr>
    </w:p>
    <w:p w14:paraId="74D56602" w14:textId="657C888A" w:rsidR="001343A6" w:rsidRPr="00205971" w:rsidRDefault="00F92CEA">
      <w:pPr>
        <w:pStyle w:val="ListParagraph"/>
        <w:numPr>
          <w:ilvl w:val="1"/>
          <w:numId w:val="6"/>
        </w:numPr>
        <w:tabs>
          <w:tab w:val="left" w:pos="1092"/>
        </w:tabs>
        <w:ind w:left="851" w:hanging="709"/>
        <w:rPr>
          <w:rFonts w:cs="Arial"/>
          <w:lang w:eastAsia="en-GB"/>
        </w:rPr>
      </w:pPr>
      <w:r>
        <w:rPr>
          <w:rFonts w:cs="Arial"/>
          <w:lang w:eastAsia="en-GB"/>
        </w:rPr>
        <w:t xml:space="preserve">Examples of recently dismissed appeals </w:t>
      </w:r>
      <w:r w:rsidR="00205971">
        <w:rPr>
          <w:rFonts w:cs="Arial"/>
          <w:lang w:eastAsia="en-GB"/>
        </w:rPr>
        <w:t xml:space="preserve">relating to annexes </w:t>
      </w:r>
      <w:r w:rsidR="00A21794">
        <w:rPr>
          <w:rFonts w:cs="Arial"/>
          <w:lang w:eastAsia="en-GB"/>
        </w:rPr>
        <w:t>are provided in the appendix to this repor</w:t>
      </w:r>
      <w:r w:rsidR="000F6AC2">
        <w:rPr>
          <w:rFonts w:cs="Arial"/>
          <w:lang w:eastAsia="en-GB"/>
        </w:rPr>
        <w:t xml:space="preserve">t at </w:t>
      </w:r>
      <w:r w:rsidR="00A21794">
        <w:rPr>
          <w:rFonts w:cs="Arial"/>
          <w:lang w:eastAsia="en-GB"/>
        </w:rPr>
        <w:t>34 Oxford Avenue, Harlington</w:t>
      </w:r>
      <w:r w:rsidR="00937EE3">
        <w:rPr>
          <w:rFonts w:cs="Arial"/>
          <w:lang w:eastAsia="en-GB"/>
        </w:rPr>
        <w:t xml:space="preserve"> (</w:t>
      </w:r>
      <w:r w:rsidR="00937EE3" w:rsidRPr="00DA5DF6">
        <w:t>APP/R5510/W/25/3364331</w:t>
      </w:r>
      <w:r w:rsidR="00937EE3">
        <w:t>)</w:t>
      </w:r>
      <w:r w:rsidR="000F6AC2">
        <w:rPr>
          <w:rFonts w:cs="Arial"/>
          <w:lang w:eastAsia="en-GB"/>
        </w:rPr>
        <w:t xml:space="preserve">; </w:t>
      </w:r>
      <w:r w:rsidR="000F6AC2" w:rsidRPr="00937EE3">
        <w:rPr>
          <w:rFonts w:cs="Arial"/>
          <w:lang w:eastAsia="en-GB"/>
        </w:rPr>
        <w:t>41 Grange Road</w:t>
      </w:r>
      <w:r w:rsidR="00937EE3" w:rsidRPr="00937EE3">
        <w:rPr>
          <w:rFonts w:cs="Arial"/>
          <w:lang w:eastAsia="en-GB"/>
        </w:rPr>
        <w:t xml:space="preserve"> (APP/R5510/D/23/3319518 and APP/R5510/D/24/3336869</w:t>
      </w:r>
      <w:r w:rsidR="00937EE3">
        <w:rPr>
          <w:rFonts w:cs="Arial"/>
          <w:lang w:eastAsia="en-GB"/>
        </w:rPr>
        <w:t>)</w:t>
      </w:r>
      <w:r w:rsidR="000F6AC2" w:rsidRPr="00937EE3">
        <w:rPr>
          <w:rFonts w:cs="Arial"/>
          <w:lang w:eastAsia="en-GB"/>
        </w:rPr>
        <w:t xml:space="preserve">; and 8 Cranborne </w:t>
      </w:r>
      <w:r w:rsidR="00C32631" w:rsidRPr="00937EE3">
        <w:rPr>
          <w:rFonts w:cs="Arial"/>
          <w:lang w:eastAsia="en-GB"/>
        </w:rPr>
        <w:t>Waye</w:t>
      </w:r>
      <w:r w:rsidR="000F6AC2" w:rsidRPr="00937EE3">
        <w:rPr>
          <w:rFonts w:cs="Arial"/>
          <w:lang w:eastAsia="en-GB"/>
        </w:rPr>
        <w:t>, Hayes</w:t>
      </w:r>
      <w:r w:rsidR="00937EE3" w:rsidRPr="00937EE3">
        <w:rPr>
          <w:rFonts w:cs="Arial"/>
          <w:lang w:eastAsia="en-GB"/>
        </w:rPr>
        <w:t xml:space="preserve"> (6006787)</w:t>
      </w:r>
      <w:r w:rsidR="000F6AC2" w:rsidRPr="00937EE3">
        <w:rPr>
          <w:rFonts w:cs="Arial"/>
          <w:lang w:eastAsia="en-GB"/>
        </w:rPr>
        <w:t xml:space="preserve">. </w:t>
      </w:r>
      <w:r w:rsidR="00C32631" w:rsidRPr="00205971">
        <w:rPr>
          <w:rFonts w:cs="Arial"/>
          <w:lang w:eastAsia="en-GB"/>
        </w:rPr>
        <w:t xml:space="preserve">Clearly </w:t>
      </w:r>
      <w:r w:rsidR="009C14A0" w:rsidRPr="00205971">
        <w:rPr>
          <w:rFonts w:cs="Arial"/>
          <w:lang w:eastAsia="en-GB"/>
        </w:rPr>
        <w:t>however, the most relevant appeal decision relates to a</w:t>
      </w:r>
      <w:r w:rsidR="001C307C" w:rsidRPr="00205971">
        <w:rPr>
          <w:rFonts w:cs="Arial"/>
          <w:lang w:eastAsia="en-GB"/>
        </w:rPr>
        <w:t>ppeal site itself dated December 2025 (</w:t>
      </w:r>
      <w:r w:rsidR="001C307C" w:rsidRPr="00D317BA">
        <w:t>APP/R5510/W/25/3371435</w:t>
      </w:r>
      <w:r w:rsidR="001C307C">
        <w:t xml:space="preserve">) </w:t>
      </w:r>
      <w:r w:rsidR="001C307C" w:rsidRPr="00205971">
        <w:rPr>
          <w:rFonts w:cs="Arial"/>
          <w:lang w:eastAsia="en-GB"/>
        </w:rPr>
        <w:t xml:space="preserve">and is included in full at Appendix 2. </w:t>
      </w:r>
    </w:p>
    <w:p w14:paraId="3A153FA0" w14:textId="1D37A431" w:rsidR="00AF523F" w:rsidRDefault="00AF523F" w:rsidP="00AF523F">
      <w:pPr>
        <w:pStyle w:val="ListParagraph"/>
        <w:tabs>
          <w:tab w:val="left" w:pos="1092"/>
        </w:tabs>
        <w:ind w:left="851"/>
        <w:rPr>
          <w:rFonts w:cs="Arial"/>
          <w:lang w:eastAsia="en-GB"/>
        </w:rPr>
      </w:pPr>
    </w:p>
    <w:p w14:paraId="495657B9" w14:textId="1E89BCDD" w:rsidR="001343A6" w:rsidRPr="00771E0E" w:rsidRDefault="00AF523F">
      <w:pPr>
        <w:pStyle w:val="ListParagraph"/>
        <w:numPr>
          <w:ilvl w:val="1"/>
          <w:numId w:val="6"/>
        </w:numPr>
        <w:tabs>
          <w:tab w:val="left" w:pos="1092"/>
        </w:tabs>
        <w:ind w:left="851" w:hanging="709"/>
        <w:rPr>
          <w:rFonts w:cs="Arial"/>
          <w:lang w:eastAsia="en-GB"/>
        </w:rPr>
      </w:pPr>
      <w:r>
        <w:rPr>
          <w:rFonts w:cs="Arial"/>
          <w:lang w:eastAsia="en-GB"/>
        </w:rPr>
        <w:t>The cases cited by the applicant do no</w:t>
      </w:r>
      <w:r w:rsidR="00491ED1">
        <w:rPr>
          <w:rFonts w:cs="Arial"/>
          <w:lang w:eastAsia="en-GB"/>
        </w:rPr>
        <w:t>t</w:t>
      </w:r>
      <w:r w:rsidR="007E7534">
        <w:rPr>
          <w:rFonts w:cs="Arial"/>
          <w:lang w:eastAsia="en-GB"/>
        </w:rPr>
        <w:t xml:space="preserve"> demonstrate evidence that the principle of annex uses </w:t>
      </w:r>
      <w:r w:rsidR="00810A0E">
        <w:rPr>
          <w:rFonts w:cs="Arial"/>
          <w:lang w:eastAsia="en-GB"/>
        </w:rPr>
        <w:t>are</w:t>
      </w:r>
      <w:r w:rsidR="00B841EC">
        <w:rPr>
          <w:rFonts w:cs="Arial"/>
          <w:lang w:eastAsia="en-GB"/>
        </w:rPr>
        <w:t xml:space="preserve"> routinely</w:t>
      </w:r>
      <w:r w:rsidR="00810A0E">
        <w:rPr>
          <w:rFonts w:cs="Arial"/>
          <w:lang w:eastAsia="en-GB"/>
        </w:rPr>
        <w:t xml:space="preserve"> supported as evidenced by the examples cited above.</w:t>
      </w:r>
      <w:r w:rsidR="00315811">
        <w:rPr>
          <w:rFonts w:cs="Arial"/>
          <w:lang w:eastAsia="en-GB"/>
        </w:rPr>
        <w:t xml:space="preserve"> </w:t>
      </w:r>
      <w:r w:rsidR="00771E0E">
        <w:rPr>
          <w:rFonts w:cs="Arial"/>
          <w:lang w:eastAsia="en-GB"/>
        </w:rPr>
        <w:t xml:space="preserve">The appeal cases highlighted above and those included in the appendix to the Councils SOC demonstrate that this is clearly the case. </w:t>
      </w:r>
      <w:r w:rsidR="00315811" w:rsidRPr="00771E0E">
        <w:rPr>
          <w:rFonts w:cs="Arial"/>
          <w:lang w:eastAsia="en-GB"/>
        </w:rPr>
        <w:t xml:space="preserve">Whilst there may be instances where </w:t>
      </w:r>
      <w:r w:rsidR="00871AB5" w:rsidRPr="00771E0E">
        <w:rPr>
          <w:rFonts w:cs="Arial"/>
          <w:lang w:eastAsia="en-GB"/>
        </w:rPr>
        <w:t xml:space="preserve">the site and case specific circumstances of allowing an annex use are clearly justified and do not amount to harm, </w:t>
      </w:r>
      <w:r w:rsidR="00F4171E" w:rsidRPr="00771E0E">
        <w:rPr>
          <w:rFonts w:cs="Arial"/>
          <w:lang w:eastAsia="en-GB"/>
        </w:rPr>
        <w:t xml:space="preserve">in the case of the appeal site, this is not considered to be the case. </w:t>
      </w:r>
      <w:r w:rsidR="00B841EC" w:rsidRPr="00771E0E">
        <w:rPr>
          <w:rFonts w:cs="Arial"/>
          <w:lang w:eastAsia="en-GB"/>
        </w:rPr>
        <w:t xml:space="preserve"> </w:t>
      </w:r>
    </w:p>
    <w:p w14:paraId="4DABF218" w14:textId="77777777" w:rsidR="008F4029" w:rsidRPr="00C76C55" w:rsidRDefault="008F4029" w:rsidP="008E0835">
      <w:pPr>
        <w:tabs>
          <w:tab w:val="left" w:pos="1092"/>
        </w:tabs>
        <w:rPr>
          <w:rFonts w:cs="Arial"/>
          <w:lang w:eastAsia="en-GB"/>
        </w:rPr>
      </w:pPr>
    </w:p>
    <w:p w14:paraId="58EA1AC9" w14:textId="77777777" w:rsidR="005B3CE2" w:rsidRPr="00C76C55" w:rsidRDefault="005B3CE2" w:rsidP="005B3CE2">
      <w:pPr>
        <w:tabs>
          <w:tab w:val="left" w:pos="567"/>
          <w:tab w:val="left" w:pos="3765"/>
        </w:tabs>
        <w:rPr>
          <w:rFonts w:cs="Arial"/>
          <w:b/>
          <w:bCs/>
          <w:sz w:val="36"/>
          <w:szCs w:val="36"/>
          <w:lang w:eastAsia="en-GB"/>
        </w:rPr>
      </w:pPr>
      <w:r w:rsidRPr="00C76C55">
        <w:rPr>
          <w:rFonts w:cs="Arial"/>
          <w:b/>
          <w:bCs/>
          <w:sz w:val="36"/>
          <w:szCs w:val="36"/>
          <w:lang w:eastAsia="en-GB"/>
        </w:rPr>
        <w:t>3.</w:t>
      </w:r>
      <w:r w:rsidRPr="00C76C55">
        <w:rPr>
          <w:rFonts w:cs="Arial"/>
          <w:b/>
          <w:bCs/>
          <w:sz w:val="36"/>
          <w:szCs w:val="36"/>
          <w:lang w:eastAsia="en-GB"/>
        </w:rPr>
        <w:tab/>
        <w:t>Other Matters</w:t>
      </w:r>
    </w:p>
    <w:p w14:paraId="28126A43" w14:textId="77777777" w:rsidR="005B3CE2" w:rsidRPr="00C76C55" w:rsidRDefault="005B3CE2" w:rsidP="005B3CE2">
      <w:pPr>
        <w:tabs>
          <w:tab w:val="left" w:pos="567"/>
          <w:tab w:val="left" w:pos="3765"/>
        </w:tabs>
        <w:rPr>
          <w:rFonts w:cs="Arial"/>
          <w:lang w:eastAsia="en-GB"/>
        </w:rPr>
      </w:pPr>
    </w:p>
    <w:p w14:paraId="79B935D4" w14:textId="6F7465C1" w:rsidR="00F53387" w:rsidRDefault="008E0835">
      <w:pPr>
        <w:pStyle w:val="ListParagraph"/>
        <w:numPr>
          <w:ilvl w:val="1"/>
          <w:numId w:val="3"/>
        </w:numPr>
        <w:tabs>
          <w:tab w:val="left" w:pos="567"/>
          <w:tab w:val="left" w:pos="3765"/>
        </w:tabs>
        <w:rPr>
          <w:rFonts w:cs="Arial"/>
          <w:lang w:eastAsia="en-GB"/>
        </w:rPr>
      </w:pPr>
      <w:r>
        <w:rPr>
          <w:rFonts w:cs="Arial"/>
          <w:lang w:eastAsia="en-GB"/>
        </w:rPr>
        <w:t xml:space="preserve"> </w:t>
      </w:r>
      <w:r w:rsidR="00F53387">
        <w:rPr>
          <w:rFonts w:cs="Arial"/>
          <w:lang w:eastAsia="en-GB"/>
        </w:rPr>
        <w:t xml:space="preserve">It is respectfully requested for the reasons outlined above that this appeal be dismissed, however </w:t>
      </w:r>
      <w:r w:rsidR="004C6D6F">
        <w:rPr>
          <w:rFonts w:cs="Arial"/>
          <w:lang w:eastAsia="en-GB"/>
        </w:rPr>
        <w:t>if</w:t>
      </w:r>
      <w:r w:rsidR="00F53387">
        <w:rPr>
          <w:rFonts w:cs="Arial"/>
          <w:lang w:eastAsia="en-GB"/>
        </w:rPr>
        <w:t xml:space="preserve"> the appeal is allowed, the Council request that the following conditions be attached to the consent:</w:t>
      </w:r>
    </w:p>
    <w:p w14:paraId="31F73E53" w14:textId="77777777" w:rsidR="004C6D6F" w:rsidRDefault="004C6D6F" w:rsidP="004C6D6F">
      <w:pPr>
        <w:tabs>
          <w:tab w:val="left" w:pos="567"/>
          <w:tab w:val="left" w:pos="3765"/>
        </w:tabs>
        <w:rPr>
          <w:rFonts w:cs="Arial"/>
          <w:lang w:eastAsia="en-GB"/>
        </w:rPr>
      </w:pPr>
    </w:p>
    <w:p w14:paraId="64A0BB8D" w14:textId="77777777" w:rsidR="00E369A5" w:rsidRDefault="00E369A5">
      <w:pPr>
        <w:pStyle w:val="ListParagraph"/>
        <w:numPr>
          <w:ilvl w:val="0"/>
          <w:numId w:val="4"/>
        </w:numPr>
        <w:tabs>
          <w:tab w:val="left" w:pos="567"/>
          <w:tab w:val="left" w:pos="3765"/>
        </w:tabs>
        <w:rPr>
          <w:rFonts w:cs="Arial"/>
          <w:lang w:eastAsia="en-GB"/>
        </w:rPr>
      </w:pPr>
      <w:r w:rsidRPr="00E369A5">
        <w:rPr>
          <w:rFonts w:cs="Arial"/>
          <w:lang w:eastAsia="en-GB"/>
        </w:rPr>
        <w:t>The development hereby permitted shall be begun before the expiration of three years fro</w:t>
      </w:r>
      <w:r>
        <w:rPr>
          <w:rFonts w:cs="Arial"/>
          <w:lang w:eastAsia="en-GB"/>
        </w:rPr>
        <w:t xml:space="preserve">m </w:t>
      </w:r>
      <w:r w:rsidRPr="00E369A5">
        <w:rPr>
          <w:rFonts w:cs="Arial"/>
          <w:lang w:eastAsia="en-GB"/>
        </w:rPr>
        <w:t>the date of this permission.</w:t>
      </w:r>
    </w:p>
    <w:p w14:paraId="347DA761" w14:textId="77777777" w:rsidR="00E369A5" w:rsidRDefault="00E369A5" w:rsidP="00E369A5">
      <w:pPr>
        <w:pStyle w:val="ListParagraph"/>
        <w:tabs>
          <w:tab w:val="left" w:pos="567"/>
          <w:tab w:val="left" w:pos="3765"/>
        </w:tabs>
        <w:rPr>
          <w:rFonts w:cs="Arial"/>
          <w:lang w:eastAsia="en-GB"/>
        </w:rPr>
      </w:pPr>
    </w:p>
    <w:p w14:paraId="727628DD" w14:textId="47AEF96F" w:rsidR="004C6D6F" w:rsidRDefault="00E369A5" w:rsidP="00E369A5">
      <w:pPr>
        <w:pStyle w:val="ListParagraph"/>
        <w:tabs>
          <w:tab w:val="left" w:pos="567"/>
          <w:tab w:val="left" w:pos="3765"/>
        </w:tabs>
        <w:rPr>
          <w:rFonts w:cs="Arial"/>
          <w:lang w:eastAsia="en-GB"/>
        </w:rPr>
      </w:pPr>
      <w:r w:rsidRPr="00E369A5">
        <w:rPr>
          <w:rFonts w:cs="Arial"/>
          <w:lang w:eastAsia="en-GB"/>
        </w:rPr>
        <w:t>REASON</w:t>
      </w:r>
      <w:r>
        <w:rPr>
          <w:rFonts w:cs="Arial"/>
          <w:lang w:eastAsia="en-GB"/>
        </w:rPr>
        <w:t xml:space="preserve">: </w:t>
      </w:r>
      <w:r w:rsidRPr="00E369A5">
        <w:rPr>
          <w:rFonts w:cs="Arial"/>
          <w:lang w:eastAsia="en-GB"/>
        </w:rPr>
        <w:t>To comply with Section 91 of the Town and Country Planning Act 1990.</w:t>
      </w:r>
    </w:p>
    <w:p w14:paraId="465F929F" w14:textId="77777777" w:rsidR="004C6D6F" w:rsidRDefault="004C6D6F" w:rsidP="00D33D9D">
      <w:pPr>
        <w:tabs>
          <w:tab w:val="left" w:pos="567"/>
          <w:tab w:val="left" w:pos="3765"/>
        </w:tabs>
        <w:ind w:left="567" w:hanging="567"/>
        <w:rPr>
          <w:rFonts w:cs="Arial"/>
          <w:lang w:eastAsia="en-GB"/>
        </w:rPr>
      </w:pPr>
    </w:p>
    <w:p w14:paraId="160FB02B" w14:textId="77777777" w:rsidR="00CB0ABF" w:rsidRDefault="00CB0ABF">
      <w:pPr>
        <w:pStyle w:val="ListParagraph"/>
        <w:numPr>
          <w:ilvl w:val="0"/>
          <w:numId w:val="4"/>
        </w:numPr>
        <w:tabs>
          <w:tab w:val="left" w:pos="567"/>
          <w:tab w:val="left" w:pos="3765"/>
        </w:tabs>
        <w:rPr>
          <w:rFonts w:cs="Arial"/>
          <w:lang w:eastAsia="en-GB"/>
        </w:rPr>
      </w:pPr>
      <w:r w:rsidRPr="00CB0ABF">
        <w:rPr>
          <w:rFonts w:cs="Arial"/>
          <w:lang w:eastAsia="en-GB"/>
        </w:rPr>
        <w:lastRenderedPageBreak/>
        <w:t>The development hereby permitted shall not be carried out except in complete accordance</w:t>
      </w:r>
      <w:r>
        <w:rPr>
          <w:rFonts w:cs="Arial"/>
          <w:lang w:eastAsia="en-GB"/>
        </w:rPr>
        <w:t xml:space="preserve"> </w:t>
      </w:r>
      <w:r w:rsidRPr="00CB0ABF">
        <w:rPr>
          <w:rFonts w:cs="Arial"/>
          <w:lang w:eastAsia="en-GB"/>
        </w:rPr>
        <w:t>with the details shown on the submitted plans, numbers:</w:t>
      </w:r>
    </w:p>
    <w:p w14:paraId="00344CB7" w14:textId="77777777" w:rsidR="00CB0ABF" w:rsidRDefault="00CB0ABF" w:rsidP="00CB0ABF">
      <w:pPr>
        <w:pStyle w:val="ListParagraph"/>
        <w:tabs>
          <w:tab w:val="left" w:pos="567"/>
          <w:tab w:val="left" w:pos="3765"/>
        </w:tabs>
        <w:rPr>
          <w:rFonts w:cs="Arial"/>
          <w:lang w:eastAsia="en-GB"/>
        </w:rPr>
      </w:pPr>
    </w:p>
    <w:p w14:paraId="3305F03D" w14:textId="77777777" w:rsidR="00CB0ABF" w:rsidRDefault="00CB0ABF" w:rsidP="00CB0ABF">
      <w:pPr>
        <w:pStyle w:val="ListParagraph"/>
        <w:tabs>
          <w:tab w:val="left" w:pos="567"/>
          <w:tab w:val="left" w:pos="3765"/>
        </w:tabs>
        <w:rPr>
          <w:rFonts w:cs="Arial"/>
          <w:lang w:eastAsia="en-GB"/>
        </w:rPr>
      </w:pPr>
      <w:r w:rsidRPr="00CB0ABF">
        <w:rPr>
          <w:rFonts w:cs="Arial"/>
          <w:lang w:eastAsia="en-GB"/>
        </w:rPr>
        <w:t>S.1 - Location Plan and Existing Site Plan</w:t>
      </w:r>
    </w:p>
    <w:p w14:paraId="1B29293C" w14:textId="70FC99EB" w:rsidR="00CB0ABF" w:rsidRDefault="008851B5" w:rsidP="00CB0ABF">
      <w:pPr>
        <w:pStyle w:val="ListParagraph"/>
        <w:tabs>
          <w:tab w:val="left" w:pos="567"/>
          <w:tab w:val="left" w:pos="3765"/>
        </w:tabs>
        <w:rPr>
          <w:rFonts w:cs="Arial"/>
          <w:lang w:eastAsia="en-GB"/>
        </w:rPr>
      </w:pPr>
      <w:r w:rsidRPr="008851B5">
        <w:rPr>
          <w:rFonts w:cs="Arial"/>
          <w:lang w:eastAsia="en-GB"/>
        </w:rPr>
        <w:t>S-2/B-A</w:t>
      </w:r>
      <w:r>
        <w:rPr>
          <w:rFonts w:cs="Arial"/>
          <w:lang w:eastAsia="en-GB"/>
        </w:rPr>
        <w:t xml:space="preserve"> </w:t>
      </w:r>
      <w:r w:rsidR="001B4B3A">
        <w:rPr>
          <w:rFonts w:cs="Arial"/>
          <w:lang w:eastAsia="en-GB"/>
        </w:rPr>
        <w:t xml:space="preserve">- </w:t>
      </w:r>
      <w:r w:rsidR="00CB0ABF" w:rsidRPr="00CB0ABF">
        <w:rPr>
          <w:rFonts w:cs="Arial"/>
          <w:lang w:eastAsia="en-GB"/>
        </w:rPr>
        <w:t>Proposed Elevation and Floor Plans</w:t>
      </w:r>
    </w:p>
    <w:p w14:paraId="77F46BAD" w14:textId="77777777" w:rsidR="00CB0ABF" w:rsidRDefault="00CB0ABF" w:rsidP="00CB0ABF">
      <w:pPr>
        <w:pStyle w:val="ListParagraph"/>
        <w:tabs>
          <w:tab w:val="left" w:pos="567"/>
          <w:tab w:val="left" w:pos="3765"/>
        </w:tabs>
        <w:rPr>
          <w:rFonts w:cs="Arial"/>
          <w:lang w:eastAsia="en-GB"/>
        </w:rPr>
      </w:pPr>
    </w:p>
    <w:p w14:paraId="4332F7BE" w14:textId="7018D2A3" w:rsidR="00CB0ABF" w:rsidRDefault="00CB0ABF" w:rsidP="00CB0ABF">
      <w:pPr>
        <w:pStyle w:val="ListParagraph"/>
        <w:tabs>
          <w:tab w:val="left" w:pos="567"/>
          <w:tab w:val="left" w:pos="3765"/>
        </w:tabs>
        <w:rPr>
          <w:rFonts w:cs="Arial"/>
          <w:lang w:eastAsia="en-GB"/>
        </w:rPr>
      </w:pPr>
      <w:r w:rsidRPr="00CB0ABF">
        <w:rPr>
          <w:rFonts w:cs="Arial"/>
          <w:lang w:eastAsia="en-GB"/>
        </w:rPr>
        <w:t>REASON</w:t>
      </w:r>
      <w:r>
        <w:rPr>
          <w:rFonts w:cs="Arial"/>
          <w:lang w:eastAsia="en-GB"/>
        </w:rPr>
        <w:t xml:space="preserve">: </w:t>
      </w:r>
      <w:r w:rsidRPr="00CB0ABF">
        <w:rPr>
          <w:rFonts w:cs="Arial"/>
          <w:lang w:eastAsia="en-GB"/>
        </w:rPr>
        <w:t>To ensure the development complies with the provisions of the Hillingdon Local Plan Part 1</w:t>
      </w:r>
      <w:r>
        <w:rPr>
          <w:rFonts w:cs="Arial"/>
          <w:lang w:eastAsia="en-GB"/>
        </w:rPr>
        <w:t xml:space="preserve"> </w:t>
      </w:r>
      <w:r w:rsidRPr="00CB0ABF">
        <w:rPr>
          <w:rFonts w:cs="Arial"/>
          <w:lang w:eastAsia="en-GB"/>
        </w:rPr>
        <w:t>(2012) and Part 2 (2020), and the London Plan (2021).</w:t>
      </w:r>
    </w:p>
    <w:p w14:paraId="46BEB456" w14:textId="77777777" w:rsidR="00CB0ABF" w:rsidRDefault="00CB0ABF" w:rsidP="00D50AD6">
      <w:pPr>
        <w:tabs>
          <w:tab w:val="left" w:pos="567"/>
          <w:tab w:val="left" w:pos="3765"/>
        </w:tabs>
        <w:ind w:left="567" w:hanging="567"/>
        <w:rPr>
          <w:rFonts w:cs="Arial"/>
          <w:lang w:eastAsia="en-GB"/>
        </w:rPr>
      </w:pPr>
    </w:p>
    <w:p w14:paraId="17DC80C3" w14:textId="77777777" w:rsidR="00784470" w:rsidRDefault="00784470">
      <w:pPr>
        <w:pStyle w:val="ListParagraph"/>
        <w:numPr>
          <w:ilvl w:val="0"/>
          <w:numId w:val="4"/>
        </w:numPr>
        <w:tabs>
          <w:tab w:val="left" w:pos="567"/>
          <w:tab w:val="left" w:pos="3765"/>
        </w:tabs>
        <w:rPr>
          <w:rFonts w:cs="Arial"/>
          <w:lang w:eastAsia="en-GB"/>
        </w:rPr>
      </w:pPr>
      <w:r w:rsidRPr="00784470">
        <w:rPr>
          <w:rFonts w:cs="Arial"/>
          <w:lang w:eastAsia="en-GB"/>
        </w:rPr>
        <w:t>The outbuilding contained within the garden of No.18 Wilmar Close labelled '18' on approved</w:t>
      </w:r>
      <w:r>
        <w:rPr>
          <w:rFonts w:cs="Arial"/>
          <w:lang w:eastAsia="en-GB"/>
        </w:rPr>
        <w:t xml:space="preserve"> </w:t>
      </w:r>
      <w:r w:rsidRPr="00784470">
        <w:rPr>
          <w:rFonts w:cs="Arial"/>
          <w:lang w:eastAsia="en-GB"/>
        </w:rPr>
        <w:t>drawing S.1 (Existing Site Plan and Location Plan) shall not be occupied at any time other</w:t>
      </w:r>
      <w:r>
        <w:rPr>
          <w:rFonts w:cs="Arial"/>
          <w:lang w:eastAsia="en-GB"/>
        </w:rPr>
        <w:t xml:space="preserve"> </w:t>
      </w:r>
      <w:r w:rsidRPr="00784470">
        <w:rPr>
          <w:rFonts w:cs="Arial"/>
          <w:lang w:eastAsia="en-GB"/>
        </w:rPr>
        <w:t>than for purposes ancillary to the residential use of the dwelling known as 18 Wilmar Close,</w:t>
      </w:r>
      <w:r>
        <w:rPr>
          <w:rFonts w:cs="Arial"/>
          <w:lang w:eastAsia="en-GB"/>
        </w:rPr>
        <w:t xml:space="preserve"> </w:t>
      </w:r>
      <w:r w:rsidRPr="00784470">
        <w:rPr>
          <w:rFonts w:cs="Arial"/>
          <w:lang w:eastAsia="en-GB"/>
        </w:rPr>
        <w:t>Hayes, UB4 8ET.</w:t>
      </w:r>
    </w:p>
    <w:p w14:paraId="37C5BF11" w14:textId="77777777" w:rsidR="00784470" w:rsidRDefault="00784470" w:rsidP="00784470">
      <w:pPr>
        <w:pStyle w:val="ListParagraph"/>
        <w:tabs>
          <w:tab w:val="left" w:pos="567"/>
          <w:tab w:val="left" w:pos="3765"/>
        </w:tabs>
        <w:rPr>
          <w:rFonts w:cs="Arial"/>
          <w:lang w:eastAsia="en-GB"/>
        </w:rPr>
      </w:pPr>
    </w:p>
    <w:p w14:paraId="31216603" w14:textId="7B69A7CB" w:rsidR="00CB0ABF" w:rsidRDefault="00784470" w:rsidP="00784470">
      <w:pPr>
        <w:pStyle w:val="ListParagraph"/>
        <w:tabs>
          <w:tab w:val="left" w:pos="567"/>
          <w:tab w:val="left" w:pos="3765"/>
        </w:tabs>
        <w:rPr>
          <w:rFonts w:cs="Arial"/>
          <w:lang w:eastAsia="en-GB"/>
        </w:rPr>
      </w:pPr>
      <w:r w:rsidRPr="00784470">
        <w:rPr>
          <w:rFonts w:cs="Arial"/>
          <w:lang w:eastAsia="en-GB"/>
        </w:rPr>
        <w:t>REASON</w:t>
      </w:r>
      <w:r>
        <w:rPr>
          <w:rFonts w:cs="Arial"/>
          <w:lang w:eastAsia="en-GB"/>
        </w:rPr>
        <w:t xml:space="preserve">: </w:t>
      </w:r>
      <w:r w:rsidRPr="00784470">
        <w:rPr>
          <w:rFonts w:cs="Arial"/>
          <w:lang w:eastAsia="en-GB"/>
        </w:rPr>
        <w:t>In the interests of protecting the living conditions of the occupiers of the existing dwellings on</w:t>
      </w:r>
      <w:r>
        <w:rPr>
          <w:rFonts w:cs="Arial"/>
          <w:lang w:eastAsia="en-GB"/>
        </w:rPr>
        <w:t xml:space="preserve"> </w:t>
      </w:r>
      <w:r w:rsidRPr="00784470">
        <w:rPr>
          <w:rFonts w:cs="Arial"/>
          <w:lang w:eastAsia="en-GB"/>
        </w:rPr>
        <w:t>the site and protecting the amenity of surrounding residential occupiers and to preserve the</w:t>
      </w:r>
      <w:r>
        <w:rPr>
          <w:rFonts w:cs="Arial"/>
          <w:lang w:eastAsia="en-GB"/>
        </w:rPr>
        <w:t xml:space="preserve"> </w:t>
      </w:r>
      <w:r w:rsidRPr="00784470">
        <w:rPr>
          <w:rFonts w:cs="Arial"/>
          <w:lang w:eastAsia="en-GB"/>
        </w:rPr>
        <w:t>character and appearance of the site and surrounding area in accordance with Policy</w:t>
      </w:r>
      <w:r>
        <w:rPr>
          <w:rFonts w:cs="Arial"/>
          <w:lang w:eastAsia="en-GB"/>
        </w:rPr>
        <w:t xml:space="preserve"> </w:t>
      </w:r>
      <w:r w:rsidRPr="00784470">
        <w:rPr>
          <w:rFonts w:cs="Arial"/>
          <w:lang w:eastAsia="en-GB"/>
        </w:rPr>
        <w:t>BE1 of the Hillingdon Local Plan: Strategic Policies (2012) and Policy DMHB 11 of the Local</w:t>
      </w:r>
      <w:r>
        <w:rPr>
          <w:rFonts w:cs="Arial"/>
          <w:lang w:eastAsia="en-GB"/>
        </w:rPr>
        <w:t xml:space="preserve"> </w:t>
      </w:r>
      <w:r w:rsidRPr="00784470">
        <w:rPr>
          <w:rFonts w:cs="Arial"/>
          <w:lang w:eastAsia="en-GB"/>
        </w:rPr>
        <w:t>Plan Part 2 - Development Management Policies.</w:t>
      </w:r>
    </w:p>
    <w:p w14:paraId="3A02DA1B" w14:textId="77777777" w:rsidR="00CB0ABF" w:rsidRDefault="00CB0ABF" w:rsidP="00D50AD6">
      <w:pPr>
        <w:tabs>
          <w:tab w:val="left" w:pos="567"/>
          <w:tab w:val="left" w:pos="3765"/>
        </w:tabs>
        <w:ind w:left="567" w:hanging="567"/>
        <w:rPr>
          <w:rFonts w:cs="Arial"/>
          <w:lang w:eastAsia="en-GB"/>
        </w:rPr>
      </w:pPr>
    </w:p>
    <w:p w14:paraId="688C3FEB" w14:textId="6E07F6BC" w:rsidR="0017054C" w:rsidRDefault="00FD05F7">
      <w:pPr>
        <w:pStyle w:val="ListParagraph"/>
        <w:numPr>
          <w:ilvl w:val="0"/>
          <w:numId w:val="4"/>
        </w:numPr>
        <w:tabs>
          <w:tab w:val="left" w:pos="567"/>
          <w:tab w:val="left" w:pos="3765"/>
        </w:tabs>
        <w:rPr>
          <w:rFonts w:cs="Arial"/>
          <w:lang w:eastAsia="en-GB"/>
        </w:rPr>
      </w:pPr>
      <w:r w:rsidRPr="00FD05F7">
        <w:rPr>
          <w:rFonts w:cs="Arial"/>
          <w:lang w:eastAsia="en-GB"/>
        </w:rPr>
        <w:t>The outbuilding contained within the garden of No.20 Wilmar Close labelled '20' on approved drawing S.1 (Existing Site Plan and Location Plan) shall not be occupied at any time other than for purposes ancillary to the residential use of the dwelling known as 20 Wilmar Close, Hayes, UB4 8ET.</w:t>
      </w:r>
    </w:p>
    <w:p w14:paraId="40E15DE7" w14:textId="77777777" w:rsidR="00FD05F7" w:rsidRDefault="00FD05F7" w:rsidP="00FD05F7">
      <w:pPr>
        <w:pStyle w:val="ListParagraph"/>
        <w:tabs>
          <w:tab w:val="left" w:pos="567"/>
          <w:tab w:val="left" w:pos="3765"/>
        </w:tabs>
        <w:rPr>
          <w:rFonts w:cs="Arial"/>
          <w:lang w:eastAsia="en-GB"/>
        </w:rPr>
      </w:pPr>
    </w:p>
    <w:p w14:paraId="3C7F2638" w14:textId="7FD72B3B" w:rsidR="00FD05F7" w:rsidRPr="00800C08" w:rsidRDefault="00800C08" w:rsidP="00800C08">
      <w:pPr>
        <w:pStyle w:val="ListParagraph"/>
        <w:tabs>
          <w:tab w:val="left" w:pos="567"/>
          <w:tab w:val="left" w:pos="3765"/>
        </w:tabs>
        <w:rPr>
          <w:rFonts w:cs="Arial"/>
          <w:lang w:eastAsia="en-GB"/>
        </w:rPr>
      </w:pPr>
      <w:r w:rsidRPr="00800C08">
        <w:rPr>
          <w:rFonts w:cs="Arial"/>
          <w:lang w:eastAsia="en-GB"/>
        </w:rPr>
        <w:t>REASON:</w:t>
      </w:r>
      <w:r w:rsidRPr="00800C08">
        <w:rPr>
          <w:rFonts w:ascii="ArialMT" w:hAnsi="ArialMT" w:cs="ArialMT"/>
          <w:lang w:eastAsia="en-GB"/>
        </w:rPr>
        <w:t xml:space="preserve"> </w:t>
      </w:r>
      <w:r w:rsidRPr="00800C08">
        <w:rPr>
          <w:rFonts w:cs="Arial"/>
          <w:lang w:eastAsia="en-GB"/>
        </w:rPr>
        <w:t>In the interests of protecting the living conditions of the occupiers of the existing dwellings on</w:t>
      </w:r>
      <w:r>
        <w:rPr>
          <w:rFonts w:cs="Arial"/>
          <w:lang w:eastAsia="en-GB"/>
        </w:rPr>
        <w:t xml:space="preserve"> </w:t>
      </w:r>
      <w:r w:rsidRPr="00800C08">
        <w:rPr>
          <w:rFonts w:cs="Arial"/>
          <w:lang w:eastAsia="en-GB"/>
        </w:rPr>
        <w:t>the site and protecting the amenity of surrounding residential occupiers and to preserve the</w:t>
      </w:r>
      <w:r>
        <w:rPr>
          <w:rFonts w:cs="Arial"/>
          <w:lang w:eastAsia="en-GB"/>
        </w:rPr>
        <w:t xml:space="preserve"> </w:t>
      </w:r>
      <w:r w:rsidRPr="00800C08">
        <w:rPr>
          <w:rFonts w:cs="Arial"/>
          <w:lang w:eastAsia="en-GB"/>
        </w:rPr>
        <w:t>character and appearance of the site and surrounding area in accordance with Policy BE1 of</w:t>
      </w:r>
      <w:r>
        <w:rPr>
          <w:rFonts w:cs="Arial"/>
          <w:lang w:eastAsia="en-GB"/>
        </w:rPr>
        <w:t xml:space="preserve"> </w:t>
      </w:r>
      <w:r w:rsidRPr="00800C08">
        <w:rPr>
          <w:rFonts w:cs="Arial"/>
          <w:lang w:eastAsia="en-GB"/>
        </w:rPr>
        <w:t>the Hillingdon Local Plan: Strategic Policies (2012) and Policy DMHB 11 of the Local Plan</w:t>
      </w:r>
      <w:r>
        <w:rPr>
          <w:rFonts w:cs="Arial"/>
          <w:lang w:eastAsia="en-GB"/>
        </w:rPr>
        <w:t xml:space="preserve"> </w:t>
      </w:r>
      <w:r w:rsidRPr="00800C08">
        <w:rPr>
          <w:rFonts w:cs="Arial"/>
          <w:lang w:eastAsia="en-GB"/>
        </w:rPr>
        <w:t>Part 2 - Development Management Policies.</w:t>
      </w:r>
    </w:p>
    <w:p w14:paraId="64B26D51" w14:textId="77777777" w:rsidR="00FD05F7" w:rsidRDefault="00FD05F7" w:rsidP="008E0835">
      <w:pPr>
        <w:tabs>
          <w:tab w:val="left" w:pos="567"/>
          <w:tab w:val="left" w:pos="3765"/>
        </w:tabs>
        <w:rPr>
          <w:rFonts w:cs="Arial"/>
          <w:b/>
          <w:bCs/>
          <w:lang w:eastAsia="en-GB"/>
        </w:rPr>
      </w:pPr>
    </w:p>
    <w:p w14:paraId="4B514670" w14:textId="77777777" w:rsidR="00FD05F7" w:rsidRPr="00C76C55" w:rsidRDefault="00FD05F7" w:rsidP="0017054C">
      <w:pPr>
        <w:tabs>
          <w:tab w:val="left" w:pos="567"/>
          <w:tab w:val="left" w:pos="3765"/>
        </w:tabs>
        <w:ind w:left="567"/>
        <w:rPr>
          <w:rFonts w:cs="Arial"/>
          <w:b/>
          <w:bCs/>
          <w:lang w:eastAsia="en-GB"/>
        </w:rPr>
      </w:pPr>
    </w:p>
    <w:p w14:paraId="677D0E22" w14:textId="77777777" w:rsidR="00A12FAD" w:rsidRPr="00C76C55" w:rsidRDefault="00C76C55" w:rsidP="00C76C55">
      <w:pPr>
        <w:pStyle w:val="Default"/>
        <w:tabs>
          <w:tab w:val="left" w:pos="567"/>
        </w:tabs>
        <w:rPr>
          <w:b/>
          <w:bCs/>
          <w:sz w:val="36"/>
          <w:szCs w:val="36"/>
        </w:rPr>
      </w:pPr>
      <w:r w:rsidRPr="00C76C55">
        <w:rPr>
          <w:b/>
          <w:bCs/>
          <w:sz w:val="36"/>
          <w:szCs w:val="36"/>
        </w:rPr>
        <w:t xml:space="preserve">4. </w:t>
      </w:r>
      <w:r w:rsidRPr="00C76C55">
        <w:rPr>
          <w:b/>
          <w:bCs/>
          <w:sz w:val="36"/>
          <w:szCs w:val="36"/>
        </w:rPr>
        <w:tab/>
        <w:t>Conclusion</w:t>
      </w:r>
    </w:p>
    <w:p w14:paraId="3F5FC63C" w14:textId="77777777" w:rsidR="004C6D6F" w:rsidRDefault="004C6D6F" w:rsidP="004C6D6F">
      <w:pPr>
        <w:tabs>
          <w:tab w:val="left" w:pos="567"/>
          <w:tab w:val="left" w:pos="3765"/>
        </w:tabs>
        <w:rPr>
          <w:rFonts w:cs="Arial"/>
        </w:rPr>
      </w:pPr>
    </w:p>
    <w:p w14:paraId="2E668E59" w14:textId="49354683" w:rsidR="004C6D6F" w:rsidRDefault="004C6D6F" w:rsidP="004C6D6F">
      <w:pPr>
        <w:tabs>
          <w:tab w:val="left" w:pos="567"/>
          <w:tab w:val="left" w:pos="3765"/>
        </w:tabs>
        <w:ind w:left="567" w:hanging="567"/>
        <w:rPr>
          <w:rFonts w:cs="Arial"/>
        </w:rPr>
      </w:pPr>
      <w:r>
        <w:rPr>
          <w:rFonts w:cs="Arial"/>
        </w:rPr>
        <w:t xml:space="preserve">4.1 The appellant’s statement of case does not put forward substantial justification or evidence to counter the Councils view that the development would be harmful based on the three reasons for refusal as set out on the decision notice. </w:t>
      </w:r>
    </w:p>
    <w:p w14:paraId="2F6FBF6E" w14:textId="77777777" w:rsidR="004C6D6F" w:rsidRDefault="004C6D6F" w:rsidP="004C6D6F">
      <w:pPr>
        <w:tabs>
          <w:tab w:val="left" w:pos="567"/>
          <w:tab w:val="left" w:pos="3765"/>
        </w:tabs>
        <w:ind w:left="567" w:hanging="567"/>
        <w:rPr>
          <w:rFonts w:cs="Arial"/>
        </w:rPr>
      </w:pPr>
    </w:p>
    <w:p w14:paraId="6D0FA34B" w14:textId="18070B53" w:rsidR="004C6D6F" w:rsidRPr="00C76C55" w:rsidRDefault="004C6D6F" w:rsidP="004C6D6F">
      <w:pPr>
        <w:tabs>
          <w:tab w:val="left" w:pos="567"/>
          <w:tab w:val="left" w:pos="3765"/>
        </w:tabs>
        <w:ind w:left="567" w:hanging="567"/>
        <w:rPr>
          <w:rFonts w:cs="Arial"/>
        </w:rPr>
      </w:pPr>
      <w:r>
        <w:rPr>
          <w:rFonts w:cs="Arial"/>
        </w:rPr>
        <w:t xml:space="preserve">4.2It is for these reasons and those set out in more detail within this statement of case, that the planning authority respectfully requests this appeal be dismissed. </w:t>
      </w:r>
    </w:p>
    <w:p w14:paraId="794C696C" w14:textId="77777777" w:rsidR="00C76C55" w:rsidRPr="00C76C55" w:rsidRDefault="00C76C55" w:rsidP="00C76C55">
      <w:pPr>
        <w:tabs>
          <w:tab w:val="left" w:pos="567"/>
          <w:tab w:val="left" w:pos="3765"/>
        </w:tabs>
        <w:ind w:left="567" w:hanging="567"/>
        <w:rPr>
          <w:rFonts w:cs="Arial"/>
        </w:rPr>
      </w:pPr>
    </w:p>
    <w:p w14:paraId="03755351" w14:textId="77777777" w:rsidR="0082795B" w:rsidRDefault="0082795B" w:rsidP="003D3EFE">
      <w:pPr>
        <w:tabs>
          <w:tab w:val="left" w:pos="567"/>
          <w:tab w:val="left" w:pos="3765"/>
        </w:tabs>
        <w:rPr>
          <w:b/>
          <w:bCs/>
          <w:sz w:val="36"/>
          <w:szCs w:val="36"/>
        </w:rPr>
      </w:pPr>
    </w:p>
    <w:p w14:paraId="470A004D" w14:textId="77777777" w:rsidR="00CF24D5" w:rsidRDefault="00CF24D5" w:rsidP="00C76C55">
      <w:pPr>
        <w:tabs>
          <w:tab w:val="left" w:pos="567"/>
          <w:tab w:val="left" w:pos="3765"/>
        </w:tabs>
        <w:ind w:left="567" w:hanging="567"/>
        <w:rPr>
          <w:b/>
          <w:bCs/>
          <w:sz w:val="36"/>
          <w:szCs w:val="36"/>
        </w:rPr>
      </w:pPr>
      <w:r w:rsidRPr="00CF24D5">
        <w:rPr>
          <w:b/>
          <w:bCs/>
          <w:sz w:val="36"/>
          <w:szCs w:val="36"/>
        </w:rPr>
        <w:t>Appendices</w:t>
      </w:r>
    </w:p>
    <w:p w14:paraId="3846AEBF" w14:textId="77777777" w:rsidR="00CF24D5" w:rsidRDefault="00CF24D5" w:rsidP="007F7C3E">
      <w:pPr>
        <w:tabs>
          <w:tab w:val="left" w:pos="0"/>
          <w:tab w:val="left" w:pos="3765"/>
        </w:tabs>
      </w:pPr>
    </w:p>
    <w:p w14:paraId="4ECA91DD" w14:textId="4A6930C9" w:rsidR="00352ECE" w:rsidRDefault="00352ECE" w:rsidP="007F7C3E">
      <w:pPr>
        <w:tabs>
          <w:tab w:val="left" w:pos="0"/>
          <w:tab w:val="left" w:pos="3765"/>
        </w:tabs>
      </w:pPr>
      <w:r w:rsidRPr="00B95EE1">
        <w:t xml:space="preserve">Appendix 1 – </w:t>
      </w:r>
      <w:r w:rsidR="006E1F20">
        <w:t xml:space="preserve">Case Officers Delegated Report – Planning Application </w:t>
      </w:r>
      <w:r w:rsidR="006E1F20" w:rsidRPr="006E1F20">
        <w:t>67410/APP/2026/387</w:t>
      </w:r>
      <w:r w:rsidR="006E1F20">
        <w:t>.</w:t>
      </w:r>
    </w:p>
    <w:p w14:paraId="7CC907BA" w14:textId="77777777" w:rsidR="00765245" w:rsidRDefault="00765245" w:rsidP="007F7C3E">
      <w:pPr>
        <w:tabs>
          <w:tab w:val="left" w:pos="0"/>
          <w:tab w:val="left" w:pos="3765"/>
        </w:tabs>
      </w:pPr>
    </w:p>
    <w:p w14:paraId="26C8C38F" w14:textId="2062C9BB" w:rsidR="00765245" w:rsidRDefault="00765245" w:rsidP="007F7C3E">
      <w:pPr>
        <w:tabs>
          <w:tab w:val="left" w:pos="0"/>
          <w:tab w:val="left" w:pos="3765"/>
        </w:tabs>
      </w:pPr>
      <w:r>
        <w:lastRenderedPageBreak/>
        <w:t xml:space="preserve">Appendix 2 – </w:t>
      </w:r>
      <w:r w:rsidR="005E791C">
        <w:t xml:space="preserve">Appeal Decision reference </w:t>
      </w:r>
      <w:r w:rsidR="00D317BA" w:rsidRPr="00D317BA">
        <w:t>APP/R5510/W/25/3371435</w:t>
      </w:r>
      <w:r w:rsidR="00805F59">
        <w:t xml:space="preserve"> – 18-20 Wilmar Close, Hayes dated 22</w:t>
      </w:r>
      <w:r w:rsidR="00805F59" w:rsidRPr="00805F59">
        <w:rPr>
          <w:vertAlign w:val="superscript"/>
        </w:rPr>
        <w:t>nd</w:t>
      </w:r>
      <w:r w:rsidR="00805F59">
        <w:t xml:space="preserve"> December 2025. </w:t>
      </w:r>
    </w:p>
    <w:p w14:paraId="2DB79915" w14:textId="77777777" w:rsidR="00EF3681" w:rsidRDefault="00EF3681" w:rsidP="007F7C3E">
      <w:pPr>
        <w:tabs>
          <w:tab w:val="left" w:pos="0"/>
          <w:tab w:val="left" w:pos="3765"/>
        </w:tabs>
      </w:pPr>
    </w:p>
    <w:p w14:paraId="2C649E63" w14:textId="77777777" w:rsidR="00F55738" w:rsidRDefault="00F55738" w:rsidP="00F55738">
      <w:pPr>
        <w:tabs>
          <w:tab w:val="left" w:pos="0"/>
          <w:tab w:val="left" w:pos="142"/>
          <w:tab w:val="left" w:pos="1701"/>
          <w:tab w:val="left" w:pos="3765"/>
        </w:tabs>
      </w:pPr>
      <w:r>
        <w:t xml:space="preserve">Appendix 3 – Appeal Decision reference </w:t>
      </w:r>
      <w:r w:rsidRPr="00DA5DF6">
        <w:t>APP/R5510/W/25/3364331</w:t>
      </w:r>
      <w:r>
        <w:t xml:space="preserve"> – 34 Oxford Avenue, Harlington dated 10</w:t>
      </w:r>
      <w:r w:rsidRPr="007F7C3E">
        <w:rPr>
          <w:vertAlign w:val="superscript"/>
        </w:rPr>
        <w:t>th</w:t>
      </w:r>
      <w:r>
        <w:t xml:space="preserve"> September 2025.  </w:t>
      </w:r>
    </w:p>
    <w:p w14:paraId="2B1CF61C" w14:textId="77777777" w:rsidR="00F55738" w:rsidRDefault="00F55738" w:rsidP="00F55738">
      <w:pPr>
        <w:tabs>
          <w:tab w:val="left" w:pos="0"/>
          <w:tab w:val="left" w:pos="3765"/>
        </w:tabs>
      </w:pPr>
    </w:p>
    <w:p w14:paraId="111A6837" w14:textId="3A175916" w:rsidR="00F55738" w:rsidRDefault="00F55738" w:rsidP="00F55738">
      <w:pPr>
        <w:tabs>
          <w:tab w:val="left" w:pos="0"/>
          <w:tab w:val="left" w:pos="3765"/>
        </w:tabs>
        <w:rPr>
          <w:rFonts w:cs="Arial"/>
          <w:lang w:eastAsia="en-GB"/>
        </w:rPr>
      </w:pPr>
      <w:r>
        <w:t xml:space="preserve">Appendix 4 - </w:t>
      </w:r>
      <w:r>
        <w:rPr>
          <w:rFonts w:cs="Arial"/>
          <w:lang w:eastAsia="en-GB"/>
        </w:rPr>
        <w:t xml:space="preserve">Appeal </w:t>
      </w:r>
      <w:r w:rsidR="00325169">
        <w:rPr>
          <w:rFonts w:cs="Arial"/>
          <w:lang w:eastAsia="en-GB"/>
        </w:rPr>
        <w:t>D</w:t>
      </w:r>
      <w:r>
        <w:rPr>
          <w:rFonts w:cs="Arial"/>
          <w:lang w:eastAsia="en-GB"/>
        </w:rPr>
        <w:t>ecision reference APP/R5510/D/23/3319518 – 41 Grange Road, Hayes – dated 29</w:t>
      </w:r>
      <w:r w:rsidRPr="00445B80">
        <w:rPr>
          <w:rFonts w:cs="Arial"/>
          <w:vertAlign w:val="superscript"/>
          <w:lang w:eastAsia="en-GB"/>
        </w:rPr>
        <w:t>th</w:t>
      </w:r>
      <w:r>
        <w:rPr>
          <w:rFonts w:cs="Arial"/>
          <w:lang w:eastAsia="en-GB"/>
        </w:rPr>
        <w:t xml:space="preserve"> September 2023. </w:t>
      </w:r>
    </w:p>
    <w:p w14:paraId="3D1CC9DE" w14:textId="77777777" w:rsidR="00F55738" w:rsidRDefault="00F55738" w:rsidP="00F55738">
      <w:pPr>
        <w:tabs>
          <w:tab w:val="left" w:pos="0"/>
          <w:tab w:val="left" w:pos="3765"/>
        </w:tabs>
        <w:rPr>
          <w:rFonts w:cs="Arial"/>
          <w:lang w:eastAsia="en-GB"/>
        </w:rPr>
      </w:pPr>
    </w:p>
    <w:p w14:paraId="147912DB" w14:textId="3D96A1FE" w:rsidR="00F55738" w:rsidRPr="00B95EE1" w:rsidRDefault="00F55738" w:rsidP="00F55738">
      <w:pPr>
        <w:tabs>
          <w:tab w:val="left" w:pos="0"/>
          <w:tab w:val="left" w:pos="3765"/>
        </w:tabs>
      </w:pPr>
      <w:r>
        <w:rPr>
          <w:rFonts w:cs="Arial"/>
          <w:lang w:eastAsia="en-GB"/>
        </w:rPr>
        <w:t xml:space="preserve">Appendix 5 - Appeal </w:t>
      </w:r>
      <w:r w:rsidR="00325169">
        <w:rPr>
          <w:rFonts w:cs="Arial"/>
          <w:lang w:eastAsia="en-GB"/>
        </w:rPr>
        <w:t>D</w:t>
      </w:r>
      <w:r>
        <w:rPr>
          <w:rFonts w:cs="Arial"/>
          <w:lang w:eastAsia="en-GB"/>
        </w:rPr>
        <w:t xml:space="preserve">ecision reference </w:t>
      </w:r>
      <w:r w:rsidRPr="00FF38DB">
        <w:rPr>
          <w:rFonts w:cs="Arial"/>
          <w:lang w:eastAsia="en-GB"/>
        </w:rPr>
        <w:t>APP/R5510/D/24/3336869</w:t>
      </w:r>
      <w:r>
        <w:rPr>
          <w:rFonts w:cs="Arial"/>
          <w:lang w:eastAsia="en-GB"/>
        </w:rPr>
        <w:t xml:space="preserve"> – 41 Grange Road, Hayes – dated 22</w:t>
      </w:r>
      <w:r w:rsidRPr="00237229">
        <w:rPr>
          <w:rFonts w:cs="Arial"/>
          <w:vertAlign w:val="superscript"/>
          <w:lang w:eastAsia="en-GB"/>
        </w:rPr>
        <w:t>nd</w:t>
      </w:r>
      <w:r>
        <w:rPr>
          <w:rFonts w:cs="Arial"/>
          <w:lang w:eastAsia="en-GB"/>
        </w:rPr>
        <w:t xml:space="preserve"> April 2024.  </w:t>
      </w:r>
    </w:p>
    <w:p w14:paraId="4CA5FE0C" w14:textId="77777777" w:rsidR="00352ECE" w:rsidRDefault="00352ECE" w:rsidP="007F7C3E">
      <w:pPr>
        <w:tabs>
          <w:tab w:val="left" w:pos="0"/>
          <w:tab w:val="left" w:pos="3765"/>
        </w:tabs>
        <w:rPr>
          <w:rFonts w:cs="Arial"/>
          <w:lang w:eastAsia="en-GB"/>
        </w:rPr>
      </w:pPr>
    </w:p>
    <w:p w14:paraId="170FEAB4" w14:textId="127F2E0C" w:rsidR="00352ECE" w:rsidRPr="00B95EE1" w:rsidRDefault="00352ECE" w:rsidP="007F7C3E">
      <w:pPr>
        <w:tabs>
          <w:tab w:val="left" w:pos="0"/>
          <w:tab w:val="left" w:pos="3765"/>
        </w:tabs>
      </w:pPr>
      <w:r>
        <w:rPr>
          <w:rFonts w:cs="Arial"/>
          <w:lang w:eastAsia="en-GB"/>
        </w:rPr>
        <w:t xml:space="preserve">Appendix </w:t>
      </w:r>
      <w:r w:rsidR="00F55738">
        <w:rPr>
          <w:rFonts w:cs="Arial"/>
          <w:lang w:eastAsia="en-GB"/>
        </w:rPr>
        <w:t>6</w:t>
      </w:r>
      <w:r>
        <w:rPr>
          <w:rFonts w:cs="Arial"/>
          <w:lang w:eastAsia="en-GB"/>
        </w:rPr>
        <w:t xml:space="preserve"> </w:t>
      </w:r>
      <w:r w:rsidR="00F55738">
        <w:rPr>
          <w:rFonts w:cs="Arial"/>
          <w:lang w:eastAsia="en-GB"/>
        </w:rPr>
        <w:t>–</w:t>
      </w:r>
      <w:r>
        <w:rPr>
          <w:rFonts w:cs="Arial"/>
          <w:lang w:eastAsia="en-GB"/>
        </w:rPr>
        <w:t xml:space="preserve"> </w:t>
      </w:r>
      <w:r w:rsidR="00F55738">
        <w:rPr>
          <w:rFonts w:cs="Arial"/>
          <w:lang w:eastAsia="en-GB"/>
        </w:rPr>
        <w:t xml:space="preserve">Appeal Decision </w:t>
      </w:r>
      <w:r w:rsidR="00325169">
        <w:rPr>
          <w:rFonts w:cs="Arial"/>
          <w:lang w:eastAsia="en-GB"/>
        </w:rPr>
        <w:t xml:space="preserve">reference </w:t>
      </w:r>
      <w:r w:rsidR="0011396C">
        <w:rPr>
          <w:rFonts w:cs="Arial"/>
          <w:lang w:eastAsia="en-GB"/>
        </w:rPr>
        <w:t>60067</w:t>
      </w:r>
      <w:r w:rsidR="00522D16">
        <w:rPr>
          <w:rFonts w:cs="Arial"/>
          <w:lang w:eastAsia="en-GB"/>
        </w:rPr>
        <w:t xml:space="preserve">87 – 8 Cranborne Waye, Hayes dated </w:t>
      </w:r>
      <w:r w:rsidR="00261D14">
        <w:rPr>
          <w:rFonts w:cs="Arial"/>
          <w:lang w:eastAsia="en-GB"/>
        </w:rPr>
        <w:t>28</w:t>
      </w:r>
      <w:r w:rsidR="00261D14" w:rsidRPr="00261D14">
        <w:rPr>
          <w:rFonts w:cs="Arial"/>
          <w:vertAlign w:val="superscript"/>
          <w:lang w:eastAsia="en-GB"/>
        </w:rPr>
        <w:t>th</w:t>
      </w:r>
      <w:r w:rsidR="00261D14">
        <w:rPr>
          <w:rFonts w:cs="Arial"/>
          <w:lang w:eastAsia="en-GB"/>
        </w:rPr>
        <w:t xml:space="preserve"> May 2026. </w:t>
      </w:r>
    </w:p>
    <w:p w14:paraId="511F7518" w14:textId="77777777" w:rsidR="00CF24D5" w:rsidRPr="00B95EE1" w:rsidRDefault="00CF24D5" w:rsidP="00C76C55">
      <w:pPr>
        <w:tabs>
          <w:tab w:val="left" w:pos="567"/>
          <w:tab w:val="left" w:pos="3765"/>
        </w:tabs>
        <w:ind w:left="567" w:hanging="567"/>
      </w:pPr>
    </w:p>
    <w:p w14:paraId="19B388C0" w14:textId="77777777" w:rsidR="00CF24D5" w:rsidRPr="00B95EE1" w:rsidRDefault="00CF24D5" w:rsidP="00C76C55">
      <w:pPr>
        <w:tabs>
          <w:tab w:val="left" w:pos="567"/>
          <w:tab w:val="left" w:pos="3765"/>
        </w:tabs>
        <w:ind w:left="567" w:hanging="567"/>
      </w:pPr>
    </w:p>
    <w:p w14:paraId="4CDBAB52" w14:textId="77777777" w:rsidR="0069031B" w:rsidRDefault="0069031B" w:rsidP="009D47E8">
      <w:pPr>
        <w:tabs>
          <w:tab w:val="left" w:pos="567"/>
          <w:tab w:val="left" w:pos="3765"/>
        </w:tabs>
      </w:pPr>
    </w:p>
    <w:p w14:paraId="22483DE9" w14:textId="77777777" w:rsidR="00450F75" w:rsidRDefault="00450F75" w:rsidP="00450F75">
      <w:pPr>
        <w:tabs>
          <w:tab w:val="left" w:pos="567"/>
          <w:tab w:val="left" w:pos="3765"/>
        </w:tabs>
        <w:rPr>
          <w:b/>
          <w:bCs/>
          <w:sz w:val="36"/>
          <w:szCs w:val="36"/>
        </w:rPr>
      </w:pPr>
    </w:p>
    <w:p w14:paraId="487BD44F" w14:textId="77777777" w:rsidR="00B51B75" w:rsidRDefault="00B51B75" w:rsidP="00C76C55">
      <w:pPr>
        <w:tabs>
          <w:tab w:val="left" w:pos="567"/>
          <w:tab w:val="left" w:pos="3765"/>
        </w:tabs>
        <w:ind w:left="567" w:hanging="567"/>
      </w:pPr>
    </w:p>
    <w:p w14:paraId="518CAB2C" w14:textId="77777777" w:rsidR="00B51B75" w:rsidRPr="00B95EE1" w:rsidRDefault="00B51B75" w:rsidP="00C76C55">
      <w:pPr>
        <w:tabs>
          <w:tab w:val="left" w:pos="567"/>
          <w:tab w:val="left" w:pos="3765"/>
        </w:tabs>
        <w:ind w:left="567" w:hanging="567"/>
      </w:pPr>
    </w:p>
    <w:p w14:paraId="1C8F93F9" w14:textId="77777777" w:rsidR="0058473F" w:rsidRPr="00B95EE1" w:rsidRDefault="0058473F" w:rsidP="00C76C55">
      <w:pPr>
        <w:tabs>
          <w:tab w:val="left" w:pos="567"/>
          <w:tab w:val="left" w:pos="3765"/>
        </w:tabs>
        <w:ind w:left="567" w:hanging="567"/>
      </w:pPr>
    </w:p>
    <w:p w14:paraId="4B2C7AE4" w14:textId="77777777" w:rsidR="000350BC" w:rsidRDefault="000350BC" w:rsidP="00C76C55">
      <w:pPr>
        <w:tabs>
          <w:tab w:val="left" w:pos="567"/>
          <w:tab w:val="left" w:pos="3765"/>
        </w:tabs>
        <w:ind w:left="567" w:hanging="567"/>
        <w:rPr>
          <w:bCs/>
        </w:rPr>
      </w:pPr>
    </w:p>
    <w:p w14:paraId="047368F4" w14:textId="77777777" w:rsidR="000350BC" w:rsidRPr="00B95EE1" w:rsidRDefault="000350BC" w:rsidP="00C76C55">
      <w:pPr>
        <w:tabs>
          <w:tab w:val="left" w:pos="567"/>
          <w:tab w:val="left" w:pos="3765"/>
        </w:tabs>
        <w:ind w:left="567" w:hanging="567"/>
      </w:pPr>
    </w:p>
    <w:p w14:paraId="5A8E103C" w14:textId="77777777" w:rsidR="00013024" w:rsidRDefault="00013024" w:rsidP="00C76C55">
      <w:pPr>
        <w:tabs>
          <w:tab w:val="left" w:pos="567"/>
          <w:tab w:val="left" w:pos="3765"/>
        </w:tabs>
        <w:ind w:left="567" w:hanging="567"/>
        <w:rPr>
          <w:sz w:val="28"/>
          <w:szCs w:val="28"/>
        </w:rPr>
      </w:pPr>
    </w:p>
    <w:p w14:paraId="1711C576" w14:textId="77777777" w:rsidR="00013024" w:rsidRDefault="00013024" w:rsidP="00013024">
      <w:pPr>
        <w:tabs>
          <w:tab w:val="left" w:pos="567"/>
          <w:tab w:val="left" w:pos="3765"/>
        </w:tabs>
        <w:rPr>
          <w:sz w:val="28"/>
          <w:szCs w:val="28"/>
        </w:rPr>
      </w:pPr>
    </w:p>
    <w:sectPr w:rsidR="00013024" w:rsidSect="00C31FBF">
      <w:headerReference w:type="default" r:id="rId11"/>
      <w:footerReference w:type="even" r:id="rId12"/>
      <w:footerReference w:type="default" r:id="rId13"/>
      <w:headerReference w:type="first" r:id="rId14"/>
      <w:footerReference w:type="first" r:id="rId15"/>
      <w:pgSz w:w="11906" w:h="16838" w:code="9"/>
      <w:pgMar w:top="1134" w:right="1134" w:bottom="1560" w:left="1134" w:header="357" w:footer="5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70466" w14:textId="77777777" w:rsidR="00A8387C" w:rsidRDefault="00A8387C">
      <w:r>
        <w:separator/>
      </w:r>
    </w:p>
  </w:endnote>
  <w:endnote w:type="continuationSeparator" w:id="0">
    <w:p w14:paraId="5C3DA500" w14:textId="77777777" w:rsidR="00A8387C" w:rsidRDefault="00A83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221990551"/>
  <w:bookmarkEnd w:id="0"/>
  <w:bookmarkStart w:id="1" w:name="_MON_1221990875"/>
  <w:bookmarkEnd w:id="1"/>
  <w:p w14:paraId="2E344D14" w14:textId="77777777" w:rsidR="00573263" w:rsidRDefault="00573263">
    <w:pPr>
      <w:pStyle w:val="Footer"/>
      <w:ind w:left="-1080" w:right="-1134"/>
      <w:jc w:val="center"/>
    </w:pPr>
    <w:r>
      <w:object w:dxaOrig="11745" w:dyaOrig="2130" w14:anchorId="0636F2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7.25pt;height:106.5pt">
          <v:imagedata r:id="rId1" o:title=""/>
        </v:shape>
        <o:OLEObject Type="Embed" ProgID="Word.Picture.8" ShapeID="_x0000_i1025" DrawAspect="Content" ObjectID="_1846226850" r:id="rId2"/>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731F" w14:textId="77777777" w:rsidR="00CA5A9E" w:rsidRDefault="00CA5A9E">
    <w:pPr>
      <w:pStyle w:val="Footer"/>
      <w:jc w:val="right"/>
    </w:pPr>
    <w:r>
      <w:fldChar w:fldCharType="begin"/>
    </w:r>
    <w:r>
      <w:instrText xml:space="preserve"> PAGE   \* MERGEFORMAT </w:instrText>
    </w:r>
    <w:r>
      <w:fldChar w:fldCharType="separate"/>
    </w:r>
    <w:r>
      <w:rPr>
        <w:noProof/>
      </w:rPr>
      <w:t>2</w:t>
    </w:r>
    <w:r>
      <w:rPr>
        <w:noProof/>
      </w:rPr>
      <w:fldChar w:fldCharType="end"/>
    </w:r>
  </w:p>
  <w:p w14:paraId="402038EA" w14:textId="77777777" w:rsidR="00CA5A9E" w:rsidRDefault="00CA5A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DEEFC" w14:textId="2393C5D3" w:rsidR="00C9084F" w:rsidRPr="00C9084F" w:rsidRDefault="003564DE" w:rsidP="00C9084F">
    <w:pPr>
      <w:rPr>
        <w:rFonts w:cs="Arial"/>
        <w:lang w:eastAsia="en-GB"/>
      </w:rPr>
    </w:pPr>
    <w:r w:rsidRPr="003564DE">
      <w:rPr>
        <w:b/>
      </w:rPr>
      <w:t>Our Ref:</w:t>
    </w:r>
    <w:r w:rsidR="00EE6B82">
      <w:rPr>
        <w:b/>
      </w:rPr>
      <w:t xml:space="preserve"> </w:t>
    </w:r>
    <w:r w:rsidR="00D528E1" w:rsidRPr="00D528E1">
      <w:rPr>
        <w:b/>
      </w:rPr>
      <w:t>67410/APP/2026/387</w:t>
    </w:r>
    <w:r w:rsidRPr="003564DE">
      <w:rPr>
        <w:b/>
      </w:rPr>
      <w:tab/>
    </w:r>
  </w:p>
  <w:p w14:paraId="68160A88" w14:textId="77777777" w:rsidR="003564DE" w:rsidRPr="003564DE" w:rsidRDefault="003564DE" w:rsidP="003564DE">
    <w:pPr>
      <w:pStyle w:val="Footer"/>
      <w:tabs>
        <w:tab w:val="left" w:pos="2694"/>
      </w:tabs>
      <w:ind w:left="-1134" w:firstLine="1134"/>
    </w:pPr>
  </w:p>
  <w:p w14:paraId="5F199C4A" w14:textId="5FC18F81" w:rsidR="00573263" w:rsidRPr="00A71B33" w:rsidRDefault="003564DE" w:rsidP="005C2379">
    <w:pPr>
      <w:pStyle w:val="Footer"/>
      <w:tabs>
        <w:tab w:val="left" w:pos="2694"/>
        <w:tab w:val="right" w:pos="5529"/>
      </w:tabs>
      <w:rPr>
        <w:bCs/>
      </w:rPr>
    </w:pPr>
    <w:r w:rsidRPr="003564DE">
      <w:rPr>
        <w:b/>
      </w:rPr>
      <w:t xml:space="preserve">Your Ref: </w:t>
    </w:r>
    <w:r w:rsidR="004622AE" w:rsidRPr="004622AE">
      <w:rPr>
        <w:b/>
        <w:bCs/>
      </w:rPr>
      <w:t> </w:t>
    </w:r>
    <w:r w:rsidR="005C2379" w:rsidRPr="005C2379">
      <w:rPr>
        <w:b/>
        <w:bCs/>
      </w:rPr>
      <w:t>67410/APP/2026/387</w:t>
    </w:r>
    <w:r w:rsidR="000A78C0">
      <w:rPr>
        <w:noProof/>
      </w:rPr>
      <w:drawing>
        <wp:anchor distT="0" distB="0" distL="114300" distR="114300" simplePos="0" relativeHeight="251658240" behindDoc="1" locked="0" layoutInCell="1" allowOverlap="1" wp14:anchorId="5A9D3F5B" wp14:editId="7763E83D">
          <wp:simplePos x="0" y="0"/>
          <wp:positionH relativeFrom="column">
            <wp:posOffset>-723265</wp:posOffset>
          </wp:positionH>
          <wp:positionV relativeFrom="paragraph">
            <wp:posOffset>-1558290</wp:posOffset>
          </wp:positionV>
          <wp:extent cx="7556500" cy="217170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78C0">
      <w:rPr>
        <w:noProof/>
        <w:sz w:val="20"/>
        <w:lang w:val="en-US"/>
      </w:rPr>
      <mc:AlternateContent>
        <mc:Choice Requires="wps">
          <w:drawing>
            <wp:anchor distT="0" distB="0" distL="114300" distR="114300" simplePos="0" relativeHeight="251657216" behindDoc="0" locked="0" layoutInCell="1" allowOverlap="1" wp14:anchorId="5D9466CA" wp14:editId="23A87502">
              <wp:simplePos x="0" y="0"/>
              <wp:positionH relativeFrom="column">
                <wp:posOffset>-12700</wp:posOffset>
              </wp:positionH>
              <wp:positionV relativeFrom="paragraph">
                <wp:posOffset>1267460</wp:posOffset>
              </wp:positionV>
              <wp:extent cx="4000500" cy="1371600"/>
              <wp:effectExtent l="0" t="635" r="3175" b="0"/>
              <wp:wrapNone/>
              <wp:docPr id="118924299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84055" w14:textId="77777777" w:rsidR="00573263" w:rsidRDefault="00573263">
                          <w:pPr>
                            <w:spacing w:line="280" w:lineRule="exact"/>
                            <w:rPr>
                              <w:rFonts w:ascii="Trebuchet MS" w:hAnsi="Trebuchet MS"/>
                              <w:b/>
                              <w:sz w:val="20"/>
                            </w:rPr>
                          </w:pPr>
                          <w:r>
                            <w:rPr>
                              <w:rFonts w:ascii="Trebuchet MS" w:hAnsi="Trebuchet MS"/>
                              <w:b/>
                              <w:sz w:val="20"/>
                            </w:rPr>
                            <w:t>Team</w:t>
                          </w:r>
                          <w:r w:rsidR="00D32117">
                            <w:rPr>
                              <w:rFonts w:ascii="Trebuchet MS" w:hAnsi="Trebuchet MS"/>
                              <w:b/>
                              <w:sz w:val="20"/>
                            </w:rPr>
                            <w:t xml:space="preserve"> name</w:t>
                          </w:r>
                        </w:p>
                        <w:p w14:paraId="0608B468" w14:textId="77777777" w:rsidR="00573263" w:rsidRDefault="00D32117">
                          <w:pPr>
                            <w:spacing w:line="280" w:lineRule="exact"/>
                            <w:rPr>
                              <w:rFonts w:ascii="Trebuchet MS" w:hAnsi="Trebuchet MS"/>
                              <w:b/>
                              <w:sz w:val="20"/>
                            </w:rPr>
                          </w:pPr>
                          <w:r>
                            <w:rPr>
                              <w:rFonts w:ascii="Trebuchet MS" w:hAnsi="Trebuchet MS"/>
                              <w:b/>
                              <w:sz w:val="20"/>
                            </w:rPr>
                            <w:t xml:space="preserve">Directorate </w:t>
                          </w:r>
                        </w:p>
                        <w:p w14:paraId="16FD9DC0" w14:textId="77777777" w:rsidR="00573263" w:rsidRDefault="00573263">
                          <w:pPr>
                            <w:spacing w:line="280" w:lineRule="exact"/>
                            <w:rPr>
                              <w:rFonts w:ascii="Trebuchet MS" w:hAnsi="Trebuchet MS"/>
                              <w:b/>
                              <w:sz w:val="20"/>
                            </w:rPr>
                          </w:pPr>
                          <w:r>
                            <w:rPr>
                              <w:rFonts w:ascii="Trebuchet MS" w:hAnsi="Trebuchet MS"/>
                              <w:b/>
                              <w:sz w:val="20"/>
                            </w:rPr>
                            <w:t xml:space="preserve">T.01895 </w:t>
                          </w:r>
                          <w:r w:rsidR="00D32117">
                            <w:rPr>
                              <w:rFonts w:ascii="Trebuchet MS" w:hAnsi="Trebuchet MS"/>
                              <w:b/>
                              <w:sz w:val="20"/>
                            </w:rPr>
                            <w:t>XXXXXX</w:t>
                          </w:r>
                          <w:r>
                            <w:rPr>
                              <w:rFonts w:ascii="Trebuchet MS" w:hAnsi="Trebuchet MS"/>
                              <w:b/>
                              <w:sz w:val="20"/>
                            </w:rPr>
                            <w:t xml:space="preserve"> </w:t>
                          </w:r>
                          <w:r>
                            <w:rPr>
                              <w:rFonts w:ascii="Trebuchet MS" w:hAnsi="Trebuchet MS"/>
                              <w:b/>
                              <w:sz w:val="20"/>
                            </w:rPr>
                            <w:tab/>
                            <w:t xml:space="preserve">F.01895 </w:t>
                          </w:r>
                          <w:r w:rsidR="00D32117">
                            <w:rPr>
                              <w:rFonts w:ascii="Trebuchet MS" w:hAnsi="Trebuchet MS"/>
                              <w:b/>
                              <w:sz w:val="20"/>
                            </w:rPr>
                            <w:t>XXXXX</w:t>
                          </w:r>
                          <w:r>
                            <w:rPr>
                              <w:rFonts w:ascii="Trebuchet MS" w:hAnsi="Trebuchet MS"/>
                              <w:b/>
                              <w:sz w:val="20"/>
                            </w:rPr>
                            <w:t xml:space="preserve"> </w:t>
                          </w:r>
                        </w:p>
                        <w:p w14:paraId="1A99896C" w14:textId="77777777" w:rsidR="00573263" w:rsidRDefault="00D32117">
                          <w:pPr>
                            <w:spacing w:line="280" w:lineRule="exact"/>
                            <w:rPr>
                              <w:rFonts w:ascii="Trebuchet MS" w:hAnsi="Trebuchet MS"/>
                              <w:b/>
                              <w:sz w:val="20"/>
                            </w:rPr>
                          </w:pPr>
                          <w:r>
                            <w:rPr>
                              <w:rFonts w:ascii="Trebuchet MS" w:hAnsi="Trebuchet MS"/>
                              <w:b/>
                              <w:sz w:val="20"/>
                            </w:rPr>
                            <w:t>name</w:t>
                          </w:r>
                          <w:r w:rsidR="00573263">
                            <w:rPr>
                              <w:rFonts w:ascii="Trebuchet MS" w:hAnsi="Trebuchet MS"/>
                              <w:b/>
                              <w:sz w:val="20"/>
                            </w:rPr>
                            <w:t>@hillingdon.gov.uk</w:t>
                          </w:r>
                          <w:r w:rsidR="00573263">
                            <w:rPr>
                              <w:rFonts w:ascii="Trebuchet MS" w:hAnsi="Trebuchet MS"/>
                              <w:b/>
                              <w:color w:val="808080"/>
                              <w:sz w:val="20"/>
                            </w:rPr>
                            <w:t xml:space="preserve"> </w:t>
                          </w:r>
                          <w:r w:rsidR="00573263">
                            <w:rPr>
                              <w:rFonts w:ascii="Trebuchet MS" w:hAnsi="Trebuchet MS"/>
                              <w:b/>
                              <w:color w:val="808080"/>
                              <w:sz w:val="20"/>
                            </w:rPr>
                            <w:tab/>
                          </w:r>
                          <w:r w:rsidR="00573263">
                            <w:rPr>
                              <w:rFonts w:ascii="Trebuchet MS" w:hAnsi="Trebuchet MS"/>
                              <w:b/>
                              <w:color w:val="000000"/>
                              <w:sz w:val="20"/>
                            </w:rPr>
                            <w:t>www.hillingdon.gov.uk</w:t>
                          </w:r>
                        </w:p>
                        <w:p w14:paraId="0F39B055" w14:textId="77777777" w:rsidR="00573263" w:rsidRDefault="00573263">
                          <w:pPr>
                            <w:spacing w:line="280" w:lineRule="exact"/>
                            <w:rPr>
                              <w:rFonts w:ascii="Trebuchet MS" w:hAnsi="Trebuchet MS"/>
                              <w:sz w:val="20"/>
                            </w:rPr>
                          </w:pPr>
                          <w:smartTag w:uri="urn:schemas-microsoft-com:office:smarttags" w:element="place">
                            <w:smartTag w:uri="urn:schemas-microsoft-com:office:smarttags" w:element="City">
                              <w:r>
                                <w:rPr>
                                  <w:rFonts w:ascii="Trebuchet MS" w:hAnsi="Trebuchet MS"/>
                                  <w:sz w:val="20"/>
                                </w:rPr>
                                <w:t>London</w:t>
                              </w:r>
                            </w:smartTag>
                          </w:smartTag>
                          <w:r>
                            <w:rPr>
                              <w:rFonts w:ascii="Trebuchet MS" w:hAnsi="Trebuchet MS"/>
                              <w:sz w:val="20"/>
                            </w:rPr>
                            <w:t xml:space="preserve"> Borough of Hillingdon,</w:t>
                          </w:r>
                        </w:p>
                        <w:p w14:paraId="332E53EB" w14:textId="77777777" w:rsidR="00573263" w:rsidRPr="00B70B82" w:rsidRDefault="00D32117">
                          <w:pPr>
                            <w:spacing w:line="280" w:lineRule="exact"/>
                            <w:rPr>
                              <w:rFonts w:ascii="Trebuchet MS" w:hAnsi="Trebuchet MS"/>
                              <w:sz w:val="20"/>
                            </w:rPr>
                          </w:pPr>
                          <w:r>
                            <w:rPr>
                              <w:rFonts w:ascii="Trebuchet MS" w:hAnsi="Trebuchet MS"/>
                              <w:sz w:val="20"/>
                            </w:rPr>
                            <w:t>Building Location</w:t>
                          </w:r>
                          <w:r w:rsidR="00573263">
                            <w:rPr>
                              <w:rFonts w:ascii="Trebuchet MS" w:hAnsi="Trebuchet MS"/>
                              <w:sz w:val="20"/>
                            </w:rPr>
                            <w:t xml:space="preserve">, Civic Centre, </w:t>
                          </w:r>
                          <w:smartTag w:uri="urn:schemas-microsoft-com:office:smarttags" w:element="address">
                            <w:smartTag w:uri="urn:schemas-microsoft-com:office:smarttags" w:element="Street">
                              <w:r w:rsidR="00573263">
                                <w:rPr>
                                  <w:rFonts w:ascii="Trebuchet MS" w:hAnsi="Trebuchet MS"/>
                                  <w:sz w:val="20"/>
                                </w:rPr>
                                <w:t>High Street</w:t>
                              </w:r>
                            </w:smartTag>
                            <w:r w:rsidR="00573263">
                              <w:rPr>
                                <w:rFonts w:ascii="Trebuchet MS" w:hAnsi="Trebuchet MS"/>
                                <w:sz w:val="20"/>
                              </w:rPr>
                              <w:t xml:space="preserve">, </w:t>
                            </w:r>
                            <w:smartTag w:uri="urn:schemas-microsoft-com:office:smarttags" w:element="City">
                              <w:r w:rsidR="00573263">
                                <w:rPr>
                                  <w:rFonts w:ascii="Trebuchet MS" w:hAnsi="Trebuchet MS"/>
                                  <w:sz w:val="20"/>
                                </w:rPr>
                                <w:t>Uxbridge</w:t>
                              </w:r>
                            </w:smartTag>
                            <w:r w:rsidR="00573263">
                              <w:rPr>
                                <w:rFonts w:ascii="Trebuchet MS" w:hAnsi="Trebuchet MS"/>
                                <w:sz w:val="20"/>
                              </w:rPr>
                              <w:t xml:space="preserve">, </w:t>
                            </w:r>
                            <w:smartTag w:uri="urn:schemas-microsoft-com:office:smarttags" w:element="PostalCode">
                              <w:r w:rsidR="00573263">
                                <w:rPr>
                                  <w:rFonts w:ascii="Trebuchet MS" w:hAnsi="Trebuchet MS"/>
                                  <w:sz w:val="20"/>
                                </w:rPr>
                                <w:t>UB8 1UW</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9466CA" id="_x0000_t202" coordsize="21600,21600" o:spt="202" path="m,l,21600r21600,l21600,xe">
              <v:stroke joinstyle="miter"/>
              <v:path gradientshapeok="t" o:connecttype="rect"/>
            </v:shapetype>
            <v:shape id="Text Box 5" o:spid="_x0000_s1026" type="#_x0000_t202" style="position:absolute;margin-left:-1pt;margin-top:99.8pt;width:315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" filled="f" stroked="f">
              <v:textbox>
                <w:txbxContent>
                  <w:p w14:paraId="21384055" w14:textId="77777777" w:rsidR="00573263" w:rsidRDefault="00573263">
                    <w:pPr>
                      <w:spacing w:line="280" w:lineRule="exact"/>
                      <w:rPr>
                        <w:rFonts w:ascii="Trebuchet MS" w:hAnsi="Trebuchet MS"/>
                        <w:b/>
                        <w:sz w:val="20"/>
                      </w:rPr>
                    </w:pPr>
                    <w:r>
                      <w:rPr>
                        <w:rFonts w:ascii="Trebuchet MS" w:hAnsi="Trebuchet MS"/>
                        <w:b/>
                        <w:sz w:val="20"/>
                      </w:rPr>
                      <w:t>Team</w:t>
                    </w:r>
                    <w:r w:rsidR="00D32117">
                      <w:rPr>
                        <w:rFonts w:ascii="Trebuchet MS" w:hAnsi="Trebuchet MS"/>
                        <w:b/>
                        <w:sz w:val="20"/>
                      </w:rPr>
                      <w:t xml:space="preserve"> name</w:t>
                    </w:r>
                  </w:p>
                  <w:p w14:paraId="0608B468" w14:textId="77777777" w:rsidR="00573263" w:rsidRDefault="00D32117">
                    <w:pPr>
                      <w:spacing w:line="280" w:lineRule="exact"/>
                      <w:rPr>
                        <w:rFonts w:ascii="Trebuchet MS" w:hAnsi="Trebuchet MS"/>
                        <w:b/>
                        <w:sz w:val="20"/>
                      </w:rPr>
                    </w:pPr>
                    <w:r>
                      <w:rPr>
                        <w:rFonts w:ascii="Trebuchet MS" w:hAnsi="Trebuchet MS"/>
                        <w:b/>
                        <w:sz w:val="20"/>
                      </w:rPr>
                      <w:t xml:space="preserve">Directorate </w:t>
                    </w:r>
                  </w:p>
                  <w:p w14:paraId="16FD9DC0" w14:textId="77777777" w:rsidR="00573263" w:rsidRDefault="00573263">
                    <w:pPr>
                      <w:spacing w:line="280" w:lineRule="exact"/>
                      <w:rPr>
                        <w:rFonts w:ascii="Trebuchet MS" w:hAnsi="Trebuchet MS"/>
                        <w:b/>
                        <w:sz w:val="20"/>
                      </w:rPr>
                    </w:pPr>
                    <w:r>
                      <w:rPr>
                        <w:rFonts w:ascii="Trebuchet MS" w:hAnsi="Trebuchet MS"/>
                        <w:b/>
                        <w:sz w:val="20"/>
                      </w:rPr>
                      <w:t xml:space="preserve">T.01895 </w:t>
                    </w:r>
                    <w:r w:rsidR="00D32117">
                      <w:rPr>
                        <w:rFonts w:ascii="Trebuchet MS" w:hAnsi="Trebuchet MS"/>
                        <w:b/>
                        <w:sz w:val="20"/>
                      </w:rPr>
                      <w:t>XXXXXX</w:t>
                    </w:r>
                    <w:r>
                      <w:rPr>
                        <w:rFonts w:ascii="Trebuchet MS" w:hAnsi="Trebuchet MS"/>
                        <w:b/>
                        <w:sz w:val="20"/>
                      </w:rPr>
                      <w:t xml:space="preserve"> </w:t>
                    </w:r>
                    <w:r>
                      <w:rPr>
                        <w:rFonts w:ascii="Trebuchet MS" w:hAnsi="Trebuchet MS"/>
                        <w:b/>
                        <w:sz w:val="20"/>
                      </w:rPr>
                      <w:tab/>
                      <w:t xml:space="preserve">F.01895 </w:t>
                    </w:r>
                    <w:r w:rsidR="00D32117">
                      <w:rPr>
                        <w:rFonts w:ascii="Trebuchet MS" w:hAnsi="Trebuchet MS"/>
                        <w:b/>
                        <w:sz w:val="20"/>
                      </w:rPr>
                      <w:t>XXXXX</w:t>
                    </w:r>
                    <w:r>
                      <w:rPr>
                        <w:rFonts w:ascii="Trebuchet MS" w:hAnsi="Trebuchet MS"/>
                        <w:b/>
                        <w:sz w:val="20"/>
                      </w:rPr>
                      <w:t xml:space="preserve"> </w:t>
                    </w:r>
                  </w:p>
                  <w:p w14:paraId="1A99896C" w14:textId="77777777" w:rsidR="00573263" w:rsidRDefault="00D32117">
                    <w:pPr>
                      <w:spacing w:line="280" w:lineRule="exact"/>
                      <w:rPr>
                        <w:rFonts w:ascii="Trebuchet MS" w:hAnsi="Trebuchet MS"/>
                        <w:b/>
                        <w:sz w:val="20"/>
                      </w:rPr>
                    </w:pPr>
                    <w:r>
                      <w:rPr>
                        <w:rFonts w:ascii="Trebuchet MS" w:hAnsi="Trebuchet MS"/>
                        <w:b/>
                        <w:sz w:val="20"/>
                      </w:rPr>
                      <w:t>name</w:t>
                    </w:r>
                    <w:r w:rsidR="00573263">
                      <w:rPr>
                        <w:rFonts w:ascii="Trebuchet MS" w:hAnsi="Trebuchet MS"/>
                        <w:b/>
                        <w:sz w:val="20"/>
                      </w:rPr>
                      <w:t>@hillingdon.gov.uk</w:t>
                    </w:r>
                    <w:r w:rsidR="00573263">
                      <w:rPr>
                        <w:rFonts w:ascii="Trebuchet MS" w:hAnsi="Trebuchet MS"/>
                        <w:b/>
                        <w:color w:val="808080"/>
                        <w:sz w:val="20"/>
                      </w:rPr>
                      <w:t xml:space="preserve"> </w:t>
                    </w:r>
                    <w:r w:rsidR="00573263">
                      <w:rPr>
                        <w:rFonts w:ascii="Trebuchet MS" w:hAnsi="Trebuchet MS"/>
                        <w:b/>
                        <w:color w:val="808080"/>
                        <w:sz w:val="20"/>
                      </w:rPr>
                      <w:tab/>
                    </w:r>
                    <w:r w:rsidR="00573263">
                      <w:rPr>
                        <w:rFonts w:ascii="Trebuchet MS" w:hAnsi="Trebuchet MS"/>
                        <w:b/>
                        <w:color w:val="000000"/>
                        <w:sz w:val="20"/>
                      </w:rPr>
                      <w:t>www.hillingdon.gov.uk</w:t>
                    </w:r>
                  </w:p>
                  <w:p w14:paraId="0F39B055" w14:textId="77777777" w:rsidR="00573263" w:rsidRDefault="00573263">
                    <w:pPr>
                      <w:spacing w:line="280" w:lineRule="exact"/>
                      <w:rPr>
                        <w:rFonts w:ascii="Trebuchet MS" w:hAnsi="Trebuchet MS"/>
                        <w:sz w:val="20"/>
                      </w:rPr>
                    </w:pPr>
                    <w:smartTag w:uri="urn:schemas-microsoft-com:office:smarttags" w:element="place">
                      <w:smartTag w:uri="urn:schemas-microsoft-com:office:smarttags" w:element="City">
                        <w:r>
                          <w:rPr>
                            <w:rFonts w:ascii="Trebuchet MS" w:hAnsi="Trebuchet MS"/>
                            <w:sz w:val="20"/>
                          </w:rPr>
                          <w:t>London</w:t>
                        </w:r>
                      </w:smartTag>
                    </w:smartTag>
                    <w:r>
                      <w:rPr>
                        <w:rFonts w:ascii="Trebuchet MS" w:hAnsi="Trebuchet MS"/>
                        <w:sz w:val="20"/>
                      </w:rPr>
                      <w:t xml:space="preserve"> Borough of Hillingdon,</w:t>
                    </w:r>
                  </w:p>
                  <w:p w14:paraId="332E53EB" w14:textId="77777777" w:rsidR="00573263" w:rsidRPr="00B70B82" w:rsidRDefault="00D32117">
                    <w:pPr>
                      <w:spacing w:line="280" w:lineRule="exact"/>
                      <w:rPr>
                        <w:rFonts w:ascii="Trebuchet MS" w:hAnsi="Trebuchet MS"/>
                        <w:sz w:val="20"/>
                      </w:rPr>
                    </w:pPr>
                    <w:r>
                      <w:rPr>
                        <w:rFonts w:ascii="Trebuchet MS" w:hAnsi="Trebuchet MS"/>
                        <w:sz w:val="20"/>
                      </w:rPr>
                      <w:t>Building Location</w:t>
                    </w:r>
                    <w:r w:rsidR="00573263">
                      <w:rPr>
                        <w:rFonts w:ascii="Trebuchet MS" w:hAnsi="Trebuchet MS"/>
                        <w:sz w:val="20"/>
                      </w:rPr>
                      <w:t xml:space="preserve">, Civic Centre, </w:t>
                    </w:r>
                    <w:smartTag w:uri="urn:schemas-microsoft-com:office:smarttags" w:element="address">
                      <w:smartTag w:uri="urn:schemas-microsoft-com:office:smarttags" w:element="Street">
                        <w:r w:rsidR="00573263">
                          <w:rPr>
                            <w:rFonts w:ascii="Trebuchet MS" w:hAnsi="Trebuchet MS"/>
                            <w:sz w:val="20"/>
                          </w:rPr>
                          <w:t>High Street</w:t>
                        </w:r>
                      </w:smartTag>
                      <w:r w:rsidR="00573263">
                        <w:rPr>
                          <w:rFonts w:ascii="Trebuchet MS" w:hAnsi="Trebuchet MS"/>
                          <w:sz w:val="20"/>
                        </w:rPr>
                        <w:t xml:space="preserve">, </w:t>
                      </w:r>
                      <w:smartTag w:uri="urn:schemas-microsoft-com:office:smarttags" w:element="City">
                        <w:r w:rsidR="00573263">
                          <w:rPr>
                            <w:rFonts w:ascii="Trebuchet MS" w:hAnsi="Trebuchet MS"/>
                            <w:sz w:val="20"/>
                          </w:rPr>
                          <w:t>Uxbridge</w:t>
                        </w:r>
                      </w:smartTag>
                      <w:r w:rsidR="00573263">
                        <w:rPr>
                          <w:rFonts w:ascii="Trebuchet MS" w:hAnsi="Trebuchet MS"/>
                          <w:sz w:val="20"/>
                        </w:rPr>
                        <w:t xml:space="preserve">, </w:t>
                      </w:r>
                      <w:smartTag w:uri="urn:schemas-microsoft-com:office:smarttags" w:element="PostalCode">
                        <w:r w:rsidR="00573263">
                          <w:rPr>
                            <w:rFonts w:ascii="Trebuchet MS" w:hAnsi="Trebuchet MS"/>
                            <w:sz w:val="20"/>
                          </w:rPr>
                          <w:t>UB8 1UW</w:t>
                        </w:r>
                      </w:smartTag>
                    </w:smartTag>
                  </w:p>
                </w:txbxContent>
              </v:textbox>
            </v:shape>
          </w:pict>
        </mc:Fallback>
      </mc:AlternateContent>
    </w:r>
    <w:r w:rsidR="00A71B33">
      <w:rPr>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8E806" w14:textId="77777777" w:rsidR="00A8387C" w:rsidRDefault="00A8387C">
      <w:r>
        <w:separator/>
      </w:r>
    </w:p>
  </w:footnote>
  <w:footnote w:type="continuationSeparator" w:id="0">
    <w:p w14:paraId="6A2AFE24" w14:textId="77777777" w:rsidR="00A8387C" w:rsidRDefault="00A83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D2624" w14:textId="77777777" w:rsidR="00573263" w:rsidRDefault="0057326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9FC89" w14:textId="1B2D6807" w:rsidR="00573263" w:rsidRDefault="000A78C0">
    <w:pPr>
      <w:pStyle w:val="Header"/>
      <w:jc w:val="center"/>
    </w:pPr>
    <w:r>
      <w:rPr>
        <w:noProof/>
      </w:rPr>
      <w:drawing>
        <wp:inline distT="0" distB="0" distL="0" distR="0" wp14:anchorId="749E5A85" wp14:editId="5EA92CED">
          <wp:extent cx="2162175" cy="1323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1323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1245"/>
    <w:multiLevelType w:val="hybridMultilevel"/>
    <w:tmpl w:val="1DE6420A"/>
    <w:lvl w:ilvl="0" w:tplc="5DA2626C">
      <w:start w:val="1"/>
      <w:numFmt w:val="decimal"/>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 w15:restartNumberingAfterBreak="0">
    <w:nsid w:val="49370F17"/>
    <w:multiLevelType w:val="multilevel"/>
    <w:tmpl w:val="2F8A20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F2C128A"/>
    <w:multiLevelType w:val="hybridMultilevel"/>
    <w:tmpl w:val="8F149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E562FF"/>
    <w:multiLevelType w:val="multilevel"/>
    <w:tmpl w:val="17044F6E"/>
    <w:lvl w:ilvl="0">
      <w:start w:val="2"/>
      <w:numFmt w:val="decimal"/>
      <w:lvlText w:val="%1"/>
      <w:lvlJc w:val="left"/>
      <w:pPr>
        <w:ind w:left="465" w:hanging="465"/>
      </w:pPr>
      <w:rPr>
        <w:rFonts w:hint="default"/>
      </w:rPr>
    </w:lvl>
    <w:lvl w:ilvl="1">
      <w:start w:val="12"/>
      <w:numFmt w:val="decimal"/>
      <w:lvlText w:val="%1.%2"/>
      <w:lvlJc w:val="left"/>
      <w:pPr>
        <w:ind w:left="607" w:hanging="46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753A0F34"/>
    <w:multiLevelType w:val="hybridMultilevel"/>
    <w:tmpl w:val="6B8096F2"/>
    <w:lvl w:ilvl="0" w:tplc="5DA2626C">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A404B4C"/>
    <w:multiLevelType w:val="multilevel"/>
    <w:tmpl w:val="AC68C7F0"/>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55528999">
    <w:abstractNumId w:val="0"/>
  </w:num>
  <w:num w:numId="2" w16cid:durableId="2061008119">
    <w:abstractNumId w:val="4"/>
  </w:num>
  <w:num w:numId="3" w16cid:durableId="186607451">
    <w:abstractNumId w:val="1"/>
  </w:num>
  <w:num w:numId="4" w16cid:durableId="1871911638">
    <w:abstractNumId w:val="2"/>
  </w:num>
  <w:num w:numId="5" w16cid:durableId="1847937659">
    <w:abstractNumId w:val="5"/>
  </w:num>
  <w:num w:numId="6" w16cid:durableId="121805433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B82"/>
    <w:rsid w:val="00003EAA"/>
    <w:rsid w:val="000054BB"/>
    <w:rsid w:val="00011DF2"/>
    <w:rsid w:val="00013024"/>
    <w:rsid w:val="000144D8"/>
    <w:rsid w:val="00014692"/>
    <w:rsid w:val="0001676C"/>
    <w:rsid w:val="00017EA9"/>
    <w:rsid w:val="00023E34"/>
    <w:rsid w:val="00026274"/>
    <w:rsid w:val="00026EF2"/>
    <w:rsid w:val="00030216"/>
    <w:rsid w:val="00031CD7"/>
    <w:rsid w:val="00032713"/>
    <w:rsid w:val="00032ADF"/>
    <w:rsid w:val="000344D0"/>
    <w:rsid w:val="000350BC"/>
    <w:rsid w:val="000352B3"/>
    <w:rsid w:val="00050591"/>
    <w:rsid w:val="00060DF5"/>
    <w:rsid w:val="0006203B"/>
    <w:rsid w:val="00073584"/>
    <w:rsid w:val="00080BA5"/>
    <w:rsid w:val="0008418C"/>
    <w:rsid w:val="0008569E"/>
    <w:rsid w:val="00085AFE"/>
    <w:rsid w:val="00086749"/>
    <w:rsid w:val="00093EBF"/>
    <w:rsid w:val="000A4CC4"/>
    <w:rsid w:val="000A78C0"/>
    <w:rsid w:val="000B00D5"/>
    <w:rsid w:val="000B1978"/>
    <w:rsid w:val="000B478D"/>
    <w:rsid w:val="000B6304"/>
    <w:rsid w:val="000C13D9"/>
    <w:rsid w:val="000C4182"/>
    <w:rsid w:val="000C48C9"/>
    <w:rsid w:val="000C4E09"/>
    <w:rsid w:val="000C7B1D"/>
    <w:rsid w:val="000D0891"/>
    <w:rsid w:val="000D11D9"/>
    <w:rsid w:val="000D6472"/>
    <w:rsid w:val="000D76D3"/>
    <w:rsid w:val="000E10AB"/>
    <w:rsid w:val="000E1ABD"/>
    <w:rsid w:val="000E216C"/>
    <w:rsid w:val="000F00C4"/>
    <w:rsid w:val="000F4AF9"/>
    <w:rsid w:val="000F6AC2"/>
    <w:rsid w:val="00101080"/>
    <w:rsid w:val="00105B7F"/>
    <w:rsid w:val="001078EF"/>
    <w:rsid w:val="00111EB2"/>
    <w:rsid w:val="0011396C"/>
    <w:rsid w:val="00117E96"/>
    <w:rsid w:val="00120EF7"/>
    <w:rsid w:val="00121847"/>
    <w:rsid w:val="00121E34"/>
    <w:rsid w:val="001220E1"/>
    <w:rsid w:val="001343A6"/>
    <w:rsid w:val="00137916"/>
    <w:rsid w:val="001425FB"/>
    <w:rsid w:val="00143DA2"/>
    <w:rsid w:val="00144A27"/>
    <w:rsid w:val="00144BF2"/>
    <w:rsid w:val="00146B60"/>
    <w:rsid w:val="00152562"/>
    <w:rsid w:val="001563CE"/>
    <w:rsid w:val="0016273D"/>
    <w:rsid w:val="0016284F"/>
    <w:rsid w:val="0017054C"/>
    <w:rsid w:val="001734EC"/>
    <w:rsid w:val="00174285"/>
    <w:rsid w:val="00174583"/>
    <w:rsid w:val="00174D9F"/>
    <w:rsid w:val="001758D3"/>
    <w:rsid w:val="00177127"/>
    <w:rsid w:val="00177B29"/>
    <w:rsid w:val="00180444"/>
    <w:rsid w:val="001828FC"/>
    <w:rsid w:val="00182B22"/>
    <w:rsid w:val="00183D2F"/>
    <w:rsid w:val="00190253"/>
    <w:rsid w:val="00194C6A"/>
    <w:rsid w:val="001971AC"/>
    <w:rsid w:val="001975B1"/>
    <w:rsid w:val="001A3F93"/>
    <w:rsid w:val="001B2C7D"/>
    <w:rsid w:val="001B4B3A"/>
    <w:rsid w:val="001B6848"/>
    <w:rsid w:val="001B6D27"/>
    <w:rsid w:val="001B7D8B"/>
    <w:rsid w:val="001C07A6"/>
    <w:rsid w:val="001C195C"/>
    <w:rsid w:val="001C307C"/>
    <w:rsid w:val="001C310B"/>
    <w:rsid w:val="001C6812"/>
    <w:rsid w:val="001D0FA4"/>
    <w:rsid w:val="001D16B2"/>
    <w:rsid w:val="001D3888"/>
    <w:rsid w:val="001D5206"/>
    <w:rsid w:val="001D59C7"/>
    <w:rsid w:val="001D7015"/>
    <w:rsid w:val="001F0FE6"/>
    <w:rsid w:val="001F5C31"/>
    <w:rsid w:val="001F64B0"/>
    <w:rsid w:val="00201223"/>
    <w:rsid w:val="00205261"/>
    <w:rsid w:val="00205971"/>
    <w:rsid w:val="002059C8"/>
    <w:rsid w:val="0021671A"/>
    <w:rsid w:val="002200D4"/>
    <w:rsid w:val="00220396"/>
    <w:rsid w:val="00230790"/>
    <w:rsid w:val="00231004"/>
    <w:rsid w:val="0023125D"/>
    <w:rsid w:val="00232F54"/>
    <w:rsid w:val="002342C5"/>
    <w:rsid w:val="002362CE"/>
    <w:rsid w:val="0024106F"/>
    <w:rsid w:val="00242DA2"/>
    <w:rsid w:val="00244C62"/>
    <w:rsid w:val="00245536"/>
    <w:rsid w:val="002464B9"/>
    <w:rsid w:val="00250D76"/>
    <w:rsid w:val="00251C53"/>
    <w:rsid w:val="00253810"/>
    <w:rsid w:val="0025761E"/>
    <w:rsid w:val="00261D14"/>
    <w:rsid w:val="00264626"/>
    <w:rsid w:val="002672F9"/>
    <w:rsid w:val="0027296A"/>
    <w:rsid w:val="002852D6"/>
    <w:rsid w:val="002926CE"/>
    <w:rsid w:val="00296896"/>
    <w:rsid w:val="002A4E79"/>
    <w:rsid w:val="002A526A"/>
    <w:rsid w:val="002A552D"/>
    <w:rsid w:val="002B008F"/>
    <w:rsid w:val="002B03CF"/>
    <w:rsid w:val="002B0656"/>
    <w:rsid w:val="002B58E1"/>
    <w:rsid w:val="002C3509"/>
    <w:rsid w:val="002C4A6F"/>
    <w:rsid w:val="002D00D9"/>
    <w:rsid w:val="002D3DE7"/>
    <w:rsid w:val="002D5683"/>
    <w:rsid w:val="002D6BC3"/>
    <w:rsid w:val="002E44BF"/>
    <w:rsid w:val="002E5458"/>
    <w:rsid w:val="002E6207"/>
    <w:rsid w:val="002F0226"/>
    <w:rsid w:val="002F5367"/>
    <w:rsid w:val="00300CBC"/>
    <w:rsid w:val="00304FED"/>
    <w:rsid w:val="00306448"/>
    <w:rsid w:val="0030671F"/>
    <w:rsid w:val="003118C5"/>
    <w:rsid w:val="00312183"/>
    <w:rsid w:val="00315811"/>
    <w:rsid w:val="00316BD8"/>
    <w:rsid w:val="0032193A"/>
    <w:rsid w:val="003221B1"/>
    <w:rsid w:val="00322DA9"/>
    <w:rsid w:val="00325169"/>
    <w:rsid w:val="003300B7"/>
    <w:rsid w:val="003434ED"/>
    <w:rsid w:val="00352ECE"/>
    <w:rsid w:val="0035433C"/>
    <w:rsid w:val="00354C83"/>
    <w:rsid w:val="003564DE"/>
    <w:rsid w:val="00363760"/>
    <w:rsid w:val="00371D0C"/>
    <w:rsid w:val="00372D61"/>
    <w:rsid w:val="0038068C"/>
    <w:rsid w:val="00382C87"/>
    <w:rsid w:val="003836F9"/>
    <w:rsid w:val="00392D35"/>
    <w:rsid w:val="003930BC"/>
    <w:rsid w:val="003939E3"/>
    <w:rsid w:val="003A6798"/>
    <w:rsid w:val="003A7242"/>
    <w:rsid w:val="003B1B7D"/>
    <w:rsid w:val="003B6E13"/>
    <w:rsid w:val="003C0BA0"/>
    <w:rsid w:val="003C4110"/>
    <w:rsid w:val="003C6270"/>
    <w:rsid w:val="003D3CEC"/>
    <w:rsid w:val="003D3EFE"/>
    <w:rsid w:val="003D5C96"/>
    <w:rsid w:val="003E00EC"/>
    <w:rsid w:val="003E3BA5"/>
    <w:rsid w:val="003E5118"/>
    <w:rsid w:val="003E523B"/>
    <w:rsid w:val="003E6444"/>
    <w:rsid w:val="003E6BE2"/>
    <w:rsid w:val="003F2FA6"/>
    <w:rsid w:val="003F70F9"/>
    <w:rsid w:val="003F7A32"/>
    <w:rsid w:val="003F7E4D"/>
    <w:rsid w:val="00401268"/>
    <w:rsid w:val="004040DF"/>
    <w:rsid w:val="004079B2"/>
    <w:rsid w:val="00410A85"/>
    <w:rsid w:val="004141FB"/>
    <w:rsid w:val="00416848"/>
    <w:rsid w:val="00420FED"/>
    <w:rsid w:val="00421C2F"/>
    <w:rsid w:val="00423BCA"/>
    <w:rsid w:val="004243A2"/>
    <w:rsid w:val="00424624"/>
    <w:rsid w:val="00424722"/>
    <w:rsid w:val="00424EA8"/>
    <w:rsid w:val="004257D3"/>
    <w:rsid w:val="00432016"/>
    <w:rsid w:val="004346BD"/>
    <w:rsid w:val="00436343"/>
    <w:rsid w:val="00442D37"/>
    <w:rsid w:val="00444342"/>
    <w:rsid w:val="004456A1"/>
    <w:rsid w:val="0044650F"/>
    <w:rsid w:val="00450F75"/>
    <w:rsid w:val="004512E9"/>
    <w:rsid w:val="00452F08"/>
    <w:rsid w:val="00453046"/>
    <w:rsid w:val="00454C4B"/>
    <w:rsid w:val="004622AE"/>
    <w:rsid w:val="00464F6F"/>
    <w:rsid w:val="004743C6"/>
    <w:rsid w:val="0048065F"/>
    <w:rsid w:val="0048244F"/>
    <w:rsid w:val="00483F80"/>
    <w:rsid w:val="00485F5C"/>
    <w:rsid w:val="00486D7C"/>
    <w:rsid w:val="004911FC"/>
    <w:rsid w:val="00491ED1"/>
    <w:rsid w:val="00492019"/>
    <w:rsid w:val="004A3CB8"/>
    <w:rsid w:val="004A672C"/>
    <w:rsid w:val="004B0195"/>
    <w:rsid w:val="004B02BA"/>
    <w:rsid w:val="004B22BF"/>
    <w:rsid w:val="004B5EA5"/>
    <w:rsid w:val="004B73CA"/>
    <w:rsid w:val="004C00AC"/>
    <w:rsid w:val="004C1DCB"/>
    <w:rsid w:val="004C4B82"/>
    <w:rsid w:val="004C6926"/>
    <w:rsid w:val="004C6B13"/>
    <w:rsid w:val="004C6D6F"/>
    <w:rsid w:val="004C6E86"/>
    <w:rsid w:val="004D43F7"/>
    <w:rsid w:val="004E3031"/>
    <w:rsid w:val="004E38D0"/>
    <w:rsid w:val="004E687A"/>
    <w:rsid w:val="004F11BE"/>
    <w:rsid w:val="004F215A"/>
    <w:rsid w:val="004F2D8D"/>
    <w:rsid w:val="004F40E2"/>
    <w:rsid w:val="004F60FD"/>
    <w:rsid w:val="00504C23"/>
    <w:rsid w:val="005050B1"/>
    <w:rsid w:val="0051288F"/>
    <w:rsid w:val="00513D75"/>
    <w:rsid w:val="005172AC"/>
    <w:rsid w:val="00522D16"/>
    <w:rsid w:val="00524BA8"/>
    <w:rsid w:val="005259CC"/>
    <w:rsid w:val="005311FE"/>
    <w:rsid w:val="00533DB4"/>
    <w:rsid w:val="00536085"/>
    <w:rsid w:val="005424D4"/>
    <w:rsid w:val="0054282A"/>
    <w:rsid w:val="00542FE7"/>
    <w:rsid w:val="00545B62"/>
    <w:rsid w:val="00554EF4"/>
    <w:rsid w:val="0055522D"/>
    <w:rsid w:val="00564484"/>
    <w:rsid w:val="00565B96"/>
    <w:rsid w:val="00565E40"/>
    <w:rsid w:val="00573263"/>
    <w:rsid w:val="005742CE"/>
    <w:rsid w:val="005829EA"/>
    <w:rsid w:val="00583ADE"/>
    <w:rsid w:val="00583B72"/>
    <w:rsid w:val="005842C2"/>
    <w:rsid w:val="0058473F"/>
    <w:rsid w:val="005859E9"/>
    <w:rsid w:val="0058621C"/>
    <w:rsid w:val="00587170"/>
    <w:rsid w:val="005A0932"/>
    <w:rsid w:val="005A1B70"/>
    <w:rsid w:val="005B2DF2"/>
    <w:rsid w:val="005B3CE2"/>
    <w:rsid w:val="005C2379"/>
    <w:rsid w:val="005C25B9"/>
    <w:rsid w:val="005C5686"/>
    <w:rsid w:val="005D1420"/>
    <w:rsid w:val="005E3498"/>
    <w:rsid w:val="005E3BC3"/>
    <w:rsid w:val="005E5262"/>
    <w:rsid w:val="005E791C"/>
    <w:rsid w:val="005F0C23"/>
    <w:rsid w:val="005F5F6E"/>
    <w:rsid w:val="0060635F"/>
    <w:rsid w:val="006069D4"/>
    <w:rsid w:val="00607012"/>
    <w:rsid w:val="006073E6"/>
    <w:rsid w:val="00613F8F"/>
    <w:rsid w:val="00614594"/>
    <w:rsid w:val="0061558A"/>
    <w:rsid w:val="00616EA2"/>
    <w:rsid w:val="006270E7"/>
    <w:rsid w:val="006314D3"/>
    <w:rsid w:val="0063182C"/>
    <w:rsid w:val="00634235"/>
    <w:rsid w:val="00637C24"/>
    <w:rsid w:val="00641658"/>
    <w:rsid w:val="00642B94"/>
    <w:rsid w:val="00642C12"/>
    <w:rsid w:val="0064481A"/>
    <w:rsid w:val="00653E0B"/>
    <w:rsid w:val="00656DA2"/>
    <w:rsid w:val="006601CA"/>
    <w:rsid w:val="0066153A"/>
    <w:rsid w:val="00670146"/>
    <w:rsid w:val="00671123"/>
    <w:rsid w:val="006717BF"/>
    <w:rsid w:val="00676B35"/>
    <w:rsid w:val="00677D6D"/>
    <w:rsid w:val="0068057A"/>
    <w:rsid w:val="006835E1"/>
    <w:rsid w:val="0068514E"/>
    <w:rsid w:val="006864E7"/>
    <w:rsid w:val="0068739E"/>
    <w:rsid w:val="0069031B"/>
    <w:rsid w:val="00690B1C"/>
    <w:rsid w:val="006919DE"/>
    <w:rsid w:val="00694815"/>
    <w:rsid w:val="006A10AF"/>
    <w:rsid w:val="006A3B80"/>
    <w:rsid w:val="006A5923"/>
    <w:rsid w:val="006B00A8"/>
    <w:rsid w:val="006B4B08"/>
    <w:rsid w:val="006B7A43"/>
    <w:rsid w:val="006C0D1D"/>
    <w:rsid w:val="006C4551"/>
    <w:rsid w:val="006D1667"/>
    <w:rsid w:val="006D5E38"/>
    <w:rsid w:val="006E1F20"/>
    <w:rsid w:val="006F36C5"/>
    <w:rsid w:val="006F385F"/>
    <w:rsid w:val="006F61D0"/>
    <w:rsid w:val="006F7206"/>
    <w:rsid w:val="00701926"/>
    <w:rsid w:val="007052B4"/>
    <w:rsid w:val="00706C4C"/>
    <w:rsid w:val="00710600"/>
    <w:rsid w:val="007115E6"/>
    <w:rsid w:val="00713F17"/>
    <w:rsid w:val="007140E8"/>
    <w:rsid w:val="00714F56"/>
    <w:rsid w:val="00716A47"/>
    <w:rsid w:val="00720067"/>
    <w:rsid w:val="00721EBD"/>
    <w:rsid w:val="0072429B"/>
    <w:rsid w:val="0072454D"/>
    <w:rsid w:val="00724EE0"/>
    <w:rsid w:val="00732B1D"/>
    <w:rsid w:val="0073305D"/>
    <w:rsid w:val="00734019"/>
    <w:rsid w:val="007373DA"/>
    <w:rsid w:val="00737645"/>
    <w:rsid w:val="00742FF6"/>
    <w:rsid w:val="00747E0D"/>
    <w:rsid w:val="007562EC"/>
    <w:rsid w:val="007617B1"/>
    <w:rsid w:val="00762B9D"/>
    <w:rsid w:val="00765245"/>
    <w:rsid w:val="00771E0E"/>
    <w:rsid w:val="007747E6"/>
    <w:rsid w:val="00777E32"/>
    <w:rsid w:val="007827C0"/>
    <w:rsid w:val="00783978"/>
    <w:rsid w:val="00784470"/>
    <w:rsid w:val="007903BD"/>
    <w:rsid w:val="0079068E"/>
    <w:rsid w:val="00793C65"/>
    <w:rsid w:val="00794234"/>
    <w:rsid w:val="007942C4"/>
    <w:rsid w:val="00795A0C"/>
    <w:rsid w:val="00797914"/>
    <w:rsid w:val="007A0C15"/>
    <w:rsid w:val="007B3012"/>
    <w:rsid w:val="007B394F"/>
    <w:rsid w:val="007B4664"/>
    <w:rsid w:val="007C01DF"/>
    <w:rsid w:val="007C2F9A"/>
    <w:rsid w:val="007C6BEB"/>
    <w:rsid w:val="007D2B4B"/>
    <w:rsid w:val="007D306C"/>
    <w:rsid w:val="007E3473"/>
    <w:rsid w:val="007E3C5A"/>
    <w:rsid w:val="007E7534"/>
    <w:rsid w:val="007F3EBC"/>
    <w:rsid w:val="007F514D"/>
    <w:rsid w:val="007F6F55"/>
    <w:rsid w:val="007F7C3E"/>
    <w:rsid w:val="00800C08"/>
    <w:rsid w:val="00800CDB"/>
    <w:rsid w:val="00803C31"/>
    <w:rsid w:val="00805F59"/>
    <w:rsid w:val="00810A0E"/>
    <w:rsid w:val="00817032"/>
    <w:rsid w:val="00817B86"/>
    <w:rsid w:val="008200DF"/>
    <w:rsid w:val="00822759"/>
    <w:rsid w:val="008229E2"/>
    <w:rsid w:val="0082795B"/>
    <w:rsid w:val="00830C8E"/>
    <w:rsid w:val="00833593"/>
    <w:rsid w:val="008368FE"/>
    <w:rsid w:val="00836E59"/>
    <w:rsid w:val="00837B69"/>
    <w:rsid w:val="00842298"/>
    <w:rsid w:val="00843117"/>
    <w:rsid w:val="00846500"/>
    <w:rsid w:val="008550B6"/>
    <w:rsid w:val="008553AC"/>
    <w:rsid w:val="008562E8"/>
    <w:rsid w:val="00856B05"/>
    <w:rsid w:val="00861BB4"/>
    <w:rsid w:val="008664D4"/>
    <w:rsid w:val="00871462"/>
    <w:rsid w:val="00871AB5"/>
    <w:rsid w:val="00874ED7"/>
    <w:rsid w:val="008754CA"/>
    <w:rsid w:val="0087711A"/>
    <w:rsid w:val="008838FD"/>
    <w:rsid w:val="008851B5"/>
    <w:rsid w:val="00886FC8"/>
    <w:rsid w:val="0089668E"/>
    <w:rsid w:val="00896948"/>
    <w:rsid w:val="008A5B6D"/>
    <w:rsid w:val="008A5D9C"/>
    <w:rsid w:val="008A7A2A"/>
    <w:rsid w:val="008A7F04"/>
    <w:rsid w:val="008A7F8C"/>
    <w:rsid w:val="008B3F20"/>
    <w:rsid w:val="008B4B92"/>
    <w:rsid w:val="008B727F"/>
    <w:rsid w:val="008C08B0"/>
    <w:rsid w:val="008C2D5C"/>
    <w:rsid w:val="008C423C"/>
    <w:rsid w:val="008C4647"/>
    <w:rsid w:val="008C7110"/>
    <w:rsid w:val="008D0005"/>
    <w:rsid w:val="008D0269"/>
    <w:rsid w:val="008D0EA0"/>
    <w:rsid w:val="008D1BD4"/>
    <w:rsid w:val="008D2426"/>
    <w:rsid w:val="008D4575"/>
    <w:rsid w:val="008D77D0"/>
    <w:rsid w:val="008E0835"/>
    <w:rsid w:val="008E1E51"/>
    <w:rsid w:val="008E4F8C"/>
    <w:rsid w:val="008E7B79"/>
    <w:rsid w:val="008F2182"/>
    <w:rsid w:val="008F4029"/>
    <w:rsid w:val="009014E2"/>
    <w:rsid w:val="00903030"/>
    <w:rsid w:val="00910285"/>
    <w:rsid w:val="00914536"/>
    <w:rsid w:val="009163B4"/>
    <w:rsid w:val="009209FD"/>
    <w:rsid w:val="00926031"/>
    <w:rsid w:val="0093318D"/>
    <w:rsid w:val="00937737"/>
    <w:rsid w:val="00937AE6"/>
    <w:rsid w:val="00937EE3"/>
    <w:rsid w:val="009431F3"/>
    <w:rsid w:val="00944519"/>
    <w:rsid w:val="00955E7E"/>
    <w:rsid w:val="0095627D"/>
    <w:rsid w:val="00964597"/>
    <w:rsid w:val="009649AE"/>
    <w:rsid w:val="009677D5"/>
    <w:rsid w:val="00973C96"/>
    <w:rsid w:val="00976C2E"/>
    <w:rsid w:val="00982B09"/>
    <w:rsid w:val="00986B0D"/>
    <w:rsid w:val="0099034A"/>
    <w:rsid w:val="00990B45"/>
    <w:rsid w:val="00991941"/>
    <w:rsid w:val="00993D71"/>
    <w:rsid w:val="00994AF5"/>
    <w:rsid w:val="009966F3"/>
    <w:rsid w:val="009A0A17"/>
    <w:rsid w:val="009A1524"/>
    <w:rsid w:val="009A1FEB"/>
    <w:rsid w:val="009B40C6"/>
    <w:rsid w:val="009C14A0"/>
    <w:rsid w:val="009C14A2"/>
    <w:rsid w:val="009C2277"/>
    <w:rsid w:val="009D47E8"/>
    <w:rsid w:val="009E1812"/>
    <w:rsid w:val="009E4D9B"/>
    <w:rsid w:val="009E75AB"/>
    <w:rsid w:val="009F10F1"/>
    <w:rsid w:val="009F57D5"/>
    <w:rsid w:val="00A03651"/>
    <w:rsid w:val="00A041BE"/>
    <w:rsid w:val="00A10C08"/>
    <w:rsid w:val="00A10D04"/>
    <w:rsid w:val="00A10D88"/>
    <w:rsid w:val="00A117E2"/>
    <w:rsid w:val="00A12FAD"/>
    <w:rsid w:val="00A1551D"/>
    <w:rsid w:val="00A21492"/>
    <w:rsid w:val="00A21794"/>
    <w:rsid w:val="00A26EB1"/>
    <w:rsid w:val="00A32150"/>
    <w:rsid w:val="00A33EE8"/>
    <w:rsid w:val="00A34200"/>
    <w:rsid w:val="00A3738F"/>
    <w:rsid w:val="00A405BB"/>
    <w:rsid w:val="00A427E0"/>
    <w:rsid w:val="00A43EC3"/>
    <w:rsid w:val="00A447DA"/>
    <w:rsid w:val="00A574F5"/>
    <w:rsid w:val="00A6402D"/>
    <w:rsid w:val="00A64FEB"/>
    <w:rsid w:val="00A661E7"/>
    <w:rsid w:val="00A71062"/>
    <w:rsid w:val="00A71B33"/>
    <w:rsid w:val="00A75B57"/>
    <w:rsid w:val="00A8387C"/>
    <w:rsid w:val="00A86035"/>
    <w:rsid w:val="00A8649E"/>
    <w:rsid w:val="00AA341B"/>
    <w:rsid w:val="00AA3A54"/>
    <w:rsid w:val="00AA3EF8"/>
    <w:rsid w:val="00AA427E"/>
    <w:rsid w:val="00AB062D"/>
    <w:rsid w:val="00AB7056"/>
    <w:rsid w:val="00AD5497"/>
    <w:rsid w:val="00AD6163"/>
    <w:rsid w:val="00AE4CEA"/>
    <w:rsid w:val="00AF0B28"/>
    <w:rsid w:val="00AF323E"/>
    <w:rsid w:val="00AF32F5"/>
    <w:rsid w:val="00AF3BDB"/>
    <w:rsid w:val="00AF523F"/>
    <w:rsid w:val="00AF6623"/>
    <w:rsid w:val="00B23B32"/>
    <w:rsid w:val="00B27D18"/>
    <w:rsid w:val="00B312FA"/>
    <w:rsid w:val="00B35706"/>
    <w:rsid w:val="00B42F86"/>
    <w:rsid w:val="00B438B3"/>
    <w:rsid w:val="00B43975"/>
    <w:rsid w:val="00B44BB0"/>
    <w:rsid w:val="00B455FF"/>
    <w:rsid w:val="00B456D5"/>
    <w:rsid w:val="00B51772"/>
    <w:rsid w:val="00B517C4"/>
    <w:rsid w:val="00B51B75"/>
    <w:rsid w:val="00B53F59"/>
    <w:rsid w:val="00B57E46"/>
    <w:rsid w:val="00B57FD2"/>
    <w:rsid w:val="00B610B9"/>
    <w:rsid w:val="00B6431D"/>
    <w:rsid w:val="00B64CE5"/>
    <w:rsid w:val="00B664F9"/>
    <w:rsid w:val="00B70B82"/>
    <w:rsid w:val="00B73886"/>
    <w:rsid w:val="00B80FB0"/>
    <w:rsid w:val="00B841EC"/>
    <w:rsid w:val="00B87CCA"/>
    <w:rsid w:val="00B94676"/>
    <w:rsid w:val="00B95EE1"/>
    <w:rsid w:val="00B97C02"/>
    <w:rsid w:val="00B97D60"/>
    <w:rsid w:val="00BA0A17"/>
    <w:rsid w:val="00BA1EE8"/>
    <w:rsid w:val="00BA352D"/>
    <w:rsid w:val="00BA417D"/>
    <w:rsid w:val="00BA7A4B"/>
    <w:rsid w:val="00BB0734"/>
    <w:rsid w:val="00BB4FF4"/>
    <w:rsid w:val="00BC672F"/>
    <w:rsid w:val="00BC7AA6"/>
    <w:rsid w:val="00BD1533"/>
    <w:rsid w:val="00BD164E"/>
    <w:rsid w:val="00BD344C"/>
    <w:rsid w:val="00BD46CF"/>
    <w:rsid w:val="00BD53A4"/>
    <w:rsid w:val="00BD5C7D"/>
    <w:rsid w:val="00BE097B"/>
    <w:rsid w:val="00BE2C8E"/>
    <w:rsid w:val="00BE3801"/>
    <w:rsid w:val="00BE5014"/>
    <w:rsid w:val="00BE5192"/>
    <w:rsid w:val="00BF0240"/>
    <w:rsid w:val="00C01D84"/>
    <w:rsid w:val="00C10705"/>
    <w:rsid w:val="00C11733"/>
    <w:rsid w:val="00C207A5"/>
    <w:rsid w:val="00C218D2"/>
    <w:rsid w:val="00C245BF"/>
    <w:rsid w:val="00C250EC"/>
    <w:rsid w:val="00C25F5E"/>
    <w:rsid w:val="00C27BC5"/>
    <w:rsid w:val="00C31FBF"/>
    <w:rsid w:val="00C32631"/>
    <w:rsid w:val="00C34C2F"/>
    <w:rsid w:val="00C40CB4"/>
    <w:rsid w:val="00C45574"/>
    <w:rsid w:val="00C45B65"/>
    <w:rsid w:val="00C50584"/>
    <w:rsid w:val="00C52204"/>
    <w:rsid w:val="00C564E4"/>
    <w:rsid w:val="00C602E3"/>
    <w:rsid w:val="00C60966"/>
    <w:rsid w:val="00C61639"/>
    <w:rsid w:val="00C61E48"/>
    <w:rsid w:val="00C62FB3"/>
    <w:rsid w:val="00C63964"/>
    <w:rsid w:val="00C6422F"/>
    <w:rsid w:val="00C671F4"/>
    <w:rsid w:val="00C67462"/>
    <w:rsid w:val="00C67722"/>
    <w:rsid w:val="00C7021B"/>
    <w:rsid w:val="00C719C4"/>
    <w:rsid w:val="00C7408B"/>
    <w:rsid w:val="00C76C55"/>
    <w:rsid w:val="00C8546F"/>
    <w:rsid w:val="00C8686E"/>
    <w:rsid w:val="00C9084F"/>
    <w:rsid w:val="00CA009A"/>
    <w:rsid w:val="00CA020C"/>
    <w:rsid w:val="00CA32FD"/>
    <w:rsid w:val="00CA5A9E"/>
    <w:rsid w:val="00CA714E"/>
    <w:rsid w:val="00CA7815"/>
    <w:rsid w:val="00CB0ABF"/>
    <w:rsid w:val="00CB1841"/>
    <w:rsid w:val="00CB1E34"/>
    <w:rsid w:val="00CB21BA"/>
    <w:rsid w:val="00CB59C2"/>
    <w:rsid w:val="00CB6BC1"/>
    <w:rsid w:val="00CC3DA5"/>
    <w:rsid w:val="00CC526D"/>
    <w:rsid w:val="00CD12DC"/>
    <w:rsid w:val="00CD27B3"/>
    <w:rsid w:val="00CD45B2"/>
    <w:rsid w:val="00CD5B80"/>
    <w:rsid w:val="00CD70EE"/>
    <w:rsid w:val="00CE78CA"/>
    <w:rsid w:val="00CF24D5"/>
    <w:rsid w:val="00D004C2"/>
    <w:rsid w:val="00D013E5"/>
    <w:rsid w:val="00D0657A"/>
    <w:rsid w:val="00D11D15"/>
    <w:rsid w:val="00D13A2B"/>
    <w:rsid w:val="00D17FFA"/>
    <w:rsid w:val="00D2110E"/>
    <w:rsid w:val="00D22D58"/>
    <w:rsid w:val="00D2448D"/>
    <w:rsid w:val="00D27E2A"/>
    <w:rsid w:val="00D3142E"/>
    <w:rsid w:val="00D317BA"/>
    <w:rsid w:val="00D32117"/>
    <w:rsid w:val="00D335D4"/>
    <w:rsid w:val="00D33ABD"/>
    <w:rsid w:val="00D33D9D"/>
    <w:rsid w:val="00D33E25"/>
    <w:rsid w:val="00D36A10"/>
    <w:rsid w:val="00D36DF1"/>
    <w:rsid w:val="00D412B2"/>
    <w:rsid w:val="00D43061"/>
    <w:rsid w:val="00D50270"/>
    <w:rsid w:val="00D50AD6"/>
    <w:rsid w:val="00D528E1"/>
    <w:rsid w:val="00D60025"/>
    <w:rsid w:val="00D62799"/>
    <w:rsid w:val="00D6297B"/>
    <w:rsid w:val="00D6759A"/>
    <w:rsid w:val="00D67B95"/>
    <w:rsid w:val="00D67CD5"/>
    <w:rsid w:val="00D703AF"/>
    <w:rsid w:val="00D7364C"/>
    <w:rsid w:val="00D81A7D"/>
    <w:rsid w:val="00D825E6"/>
    <w:rsid w:val="00D8306B"/>
    <w:rsid w:val="00D85FCA"/>
    <w:rsid w:val="00D86B6A"/>
    <w:rsid w:val="00D920E6"/>
    <w:rsid w:val="00D929CD"/>
    <w:rsid w:val="00DA03C7"/>
    <w:rsid w:val="00DA04D0"/>
    <w:rsid w:val="00DA05C3"/>
    <w:rsid w:val="00DA0E10"/>
    <w:rsid w:val="00DA237C"/>
    <w:rsid w:val="00DA354B"/>
    <w:rsid w:val="00DA4096"/>
    <w:rsid w:val="00DA58EB"/>
    <w:rsid w:val="00DA5DF6"/>
    <w:rsid w:val="00DA7B78"/>
    <w:rsid w:val="00DB4A21"/>
    <w:rsid w:val="00DB70B1"/>
    <w:rsid w:val="00DC1408"/>
    <w:rsid w:val="00DC3B35"/>
    <w:rsid w:val="00DC511A"/>
    <w:rsid w:val="00DC5FF4"/>
    <w:rsid w:val="00DC799E"/>
    <w:rsid w:val="00DD5784"/>
    <w:rsid w:val="00DD74B7"/>
    <w:rsid w:val="00DD7AEE"/>
    <w:rsid w:val="00DE56CE"/>
    <w:rsid w:val="00DE7F86"/>
    <w:rsid w:val="00DF0852"/>
    <w:rsid w:val="00DF7BD7"/>
    <w:rsid w:val="00E1104F"/>
    <w:rsid w:val="00E173DB"/>
    <w:rsid w:val="00E17D14"/>
    <w:rsid w:val="00E20B22"/>
    <w:rsid w:val="00E212E4"/>
    <w:rsid w:val="00E219F6"/>
    <w:rsid w:val="00E22BF7"/>
    <w:rsid w:val="00E22C93"/>
    <w:rsid w:val="00E3412A"/>
    <w:rsid w:val="00E34DEB"/>
    <w:rsid w:val="00E36495"/>
    <w:rsid w:val="00E369A5"/>
    <w:rsid w:val="00E4040C"/>
    <w:rsid w:val="00E44099"/>
    <w:rsid w:val="00E459CE"/>
    <w:rsid w:val="00E46008"/>
    <w:rsid w:val="00E51D27"/>
    <w:rsid w:val="00E611ED"/>
    <w:rsid w:val="00E63506"/>
    <w:rsid w:val="00E66117"/>
    <w:rsid w:val="00E71B6B"/>
    <w:rsid w:val="00E73478"/>
    <w:rsid w:val="00E753AE"/>
    <w:rsid w:val="00E773EC"/>
    <w:rsid w:val="00E77B66"/>
    <w:rsid w:val="00E805B4"/>
    <w:rsid w:val="00E806EC"/>
    <w:rsid w:val="00E80D10"/>
    <w:rsid w:val="00E816A2"/>
    <w:rsid w:val="00E826AC"/>
    <w:rsid w:val="00E84D60"/>
    <w:rsid w:val="00E868D8"/>
    <w:rsid w:val="00E9023D"/>
    <w:rsid w:val="00E9570B"/>
    <w:rsid w:val="00E9673D"/>
    <w:rsid w:val="00E978FF"/>
    <w:rsid w:val="00EA024A"/>
    <w:rsid w:val="00EA21D2"/>
    <w:rsid w:val="00EA5C5C"/>
    <w:rsid w:val="00EB271B"/>
    <w:rsid w:val="00EB2817"/>
    <w:rsid w:val="00EB307A"/>
    <w:rsid w:val="00EB3C78"/>
    <w:rsid w:val="00EB42BB"/>
    <w:rsid w:val="00EB4318"/>
    <w:rsid w:val="00EB43F3"/>
    <w:rsid w:val="00EB451F"/>
    <w:rsid w:val="00EB62A4"/>
    <w:rsid w:val="00EC0D16"/>
    <w:rsid w:val="00EC1E3D"/>
    <w:rsid w:val="00EC1EE5"/>
    <w:rsid w:val="00EC693A"/>
    <w:rsid w:val="00EC7C89"/>
    <w:rsid w:val="00ED0ADD"/>
    <w:rsid w:val="00ED3C6D"/>
    <w:rsid w:val="00ED46C1"/>
    <w:rsid w:val="00EE1214"/>
    <w:rsid w:val="00EE6B82"/>
    <w:rsid w:val="00EF09C1"/>
    <w:rsid w:val="00EF3681"/>
    <w:rsid w:val="00EF480F"/>
    <w:rsid w:val="00EF5672"/>
    <w:rsid w:val="00EF61FB"/>
    <w:rsid w:val="00EF6417"/>
    <w:rsid w:val="00F033C9"/>
    <w:rsid w:val="00F054E4"/>
    <w:rsid w:val="00F11F38"/>
    <w:rsid w:val="00F15B81"/>
    <w:rsid w:val="00F17D77"/>
    <w:rsid w:val="00F22E43"/>
    <w:rsid w:val="00F23638"/>
    <w:rsid w:val="00F30770"/>
    <w:rsid w:val="00F31FFC"/>
    <w:rsid w:val="00F36F94"/>
    <w:rsid w:val="00F4171E"/>
    <w:rsid w:val="00F418F0"/>
    <w:rsid w:val="00F44D13"/>
    <w:rsid w:val="00F46B01"/>
    <w:rsid w:val="00F47004"/>
    <w:rsid w:val="00F47C84"/>
    <w:rsid w:val="00F5080C"/>
    <w:rsid w:val="00F53387"/>
    <w:rsid w:val="00F53A90"/>
    <w:rsid w:val="00F55738"/>
    <w:rsid w:val="00F60B65"/>
    <w:rsid w:val="00F6209D"/>
    <w:rsid w:val="00F643E4"/>
    <w:rsid w:val="00F658E2"/>
    <w:rsid w:val="00F669B8"/>
    <w:rsid w:val="00F71876"/>
    <w:rsid w:val="00F85D54"/>
    <w:rsid w:val="00F9085A"/>
    <w:rsid w:val="00F92CEA"/>
    <w:rsid w:val="00F96766"/>
    <w:rsid w:val="00FA1E45"/>
    <w:rsid w:val="00FA4A97"/>
    <w:rsid w:val="00FA71B9"/>
    <w:rsid w:val="00FB1CD0"/>
    <w:rsid w:val="00FB2619"/>
    <w:rsid w:val="00FB2710"/>
    <w:rsid w:val="00FB4AD9"/>
    <w:rsid w:val="00FC089B"/>
    <w:rsid w:val="00FC1CD2"/>
    <w:rsid w:val="00FC65BE"/>
    <w:rsid w:val="00FC7082"/>
    <w:rsid w:val="00FD05F7"/>
    <w:rsid w:val="00FD30E7"/>
    <w:rsid w:val="00FE1ABD"/>
    <w:rsid w:val="00FF0103"/>
    <w:rsid w:val="00FF1282"/>
    <w:rsid w:val="00FF6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0689EEE4"/>
  <w15:chartTrackingRefBased/>
  <w15:docId w15:val="{BDE36CF1-8075-43AA-B961-5DC418A5A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rsid w:val="003564DE"/>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4622AE"/>
    <w:pPr>
      <w:keepNext/>
      <w:spacing w:before="240" w:after="60"/>
      <w:outlineLvl w:val="1"/>
    </w:pPr>
    <w:rPr>
      <w:rFonts w:ascii="Aptos Display" w:hAnsi="Aptos Display"/>
      <w:b/>
      <w:bCs/>
      <w:i/>
      <w:iCs/>
      <w:sz w:val="28"/>
      <w:szCs w:val="28"/>
    </w:rPr>
  </w:style>
  <w:style w:type="paragraph" w:styleId="Heading3">
    <w:name w:val="heading 3"/>
    <w:basedOn w:val="Normal"/>
    <w:link w:val="Heading3Char"/>
    <w:uiPriority w:val="9"/>
    <w:qFormat/>
    <w:rsid w:val="005742CE"/>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uiPriority w:val="99"/>
    <w:rPr>
      <w:color w:val="0000FF"/>
      <w:u w:val="single"/>
    </w:rPr>
  </w:style>
  <w:style w:type="table" w:styleId="TableGrid">
    <w:name w:val="Table Grid"/>
    <w:basedOn w:val="TableNormal"/>
    <w:uiPriority w:val="39"/>
    <w:rsid w:val="00017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517C4"/>
    <w:rPr>
      <w:color w:val="605E5C"/>
      <w:shd w:val="clear" w:color="auto" w:fill="E1DFDD"/>
    </w:rPr>
  </w:style>
  <w:style w:type="paragraph" w:styleId="ListParagraph">
    <w:name w:val="List Paragraph"/>
    <w:basedOn w:val="Normal"/>
    <w:uiPriority w:val="1"/>
    <w:qFormat/>
    <w:rsid w:val="00AD5497"/>
    <w:pPr>
      <w:ind w:left="720"/>
    </w:pPr>
  </w:style>
  <w:style w:type="character" w:customStyle="1" w:styleId="FooterChar">
    <w:name w:val="Footer Char"/>
    <w:link w:val="Footer"/>
    <w:uiPriority w:val="99"/>
    <w:rsid w:val="00CA5A9E"/>
    <w:rPr>
      <w:rFonts w:ascii="Arial" w:hAnsi="Arial"/>
      <w:sz w:val="24"/>
      <w:szCs w:val="24"/>
      <w:lang w:eastAsia="en-US"/>
    </w:rPr>
  </w:style>
  <w:style w:type="character" w:customStyle="1" w:styleId="Heading3Char">
    <w:name w:val="Heading 3 Char"/>
    <w:link w:val="Heading3"/>
    <w:uiPriority w:val="9"/>
    <w:rsid w:val="005742CE"/>
    <w:rPr>
      <w:b/>
      <w:bCs/>
      <w:sz w:val="27"/>
      <w:szCs w:val="27"/>
    </w:rPr>
  </w:style>
  <w:style w:type="paragraph" w:styleId="NormalWeb">
    <w:name w:val="Normal (Web)"/>
    <w:basedOn w:val="Normal"/>
    <w:uiPriority w:val="99"/>
    <w:unhideWhenUsed/>
    <w:rsid w:val="005742CE"/>
    <w:pPr>
      <w:spacing w:before="100" w:beforeAutospacing="1" w:after="100" w:afterAutospacing="1"/>
    </w:pPr>
    <w:rPr>
      <w:rFonts w:ascii="Times New Roman" w:hAnsi="Times New Roman"/>
      <w:lang w:eastAsia="en-GB"/>
    </w:rPr>
  </w:style>
  <w:style w:type="character" w:customStyle="1" w:styleId="Heading1Char">
    <w:name w:val="Heading 1 Char"/>
    <w:link w:val="Heading1"/>
    <w:rsid w:val="003564DE"/>
    <w:rPr>
      <w:rFonts w:ascii="Calibri Light" w:eastAsia="Times New Roman" w:hAnsi="Calibri Light" w:cs="Times New Roman"/>
      <w:b/>
      <w:bCs/>
      <w:kern w:val="32"/>
      <w:sz w:val="32"/>
      <w:szCs w:val="32"/>
      <w:lang w:eastAsia="en-US"/>
    </w:rPr>
  </w:style>
  <w:style w:type="paragraph" w:customStyle="1" w:styleId="Normal1">
    <w:name w:val="Normal1"/>
    <w:rsid w:val="003564DE"/>
    <w:rPr>
      <w:sz w:val="24"/>
      <w:szCs w:val="24"/>
    </w:rPr>
  </w:style>
  <w:style w:type="paragraph" w:customStyle="1" w:styleId="Default">
    <w:name w:val="Default"/>
    <w:rsid w:val="00A12FAD"/>
    <w:pPr>
      <w:autoSpaceDE w:val="0"/>
      <w:autoSpaceDN w:val="0"/>
      <w:adjustRightInd w:val="0"/>
    </w:pPr>
    <w:rPr>
      <w:rFonts w:ascii="Arial" w:hAnsi="Arial" w:cs="Arial"/>
      <w:color w:val="000000"/>
      <w:sz w:val="24"/>
      <w:szCs w:val="24"/>
    </w:rPr>
  </w:style>
  <w:style w:type="paragraph" w:styleId="BodyText">
    <w:name w:val="Body Text"/>
    <w:basedOn w:val="Normal"/>
    <w:link w:val="BodyTextChar"/>
    <w:uiPriority w:val="1"/>
    <w:qFormat/>
    <w:rsid w:val="00BC672F"/>
    <w:pPr>
      <w:widowControl w:val="0"/>
      <w:autoSpaceDE w:val="0"/>
      <w:autoSpaceDN w:val="0"/>
    </w:pPr>
    <w:rPr>
      <w:rFonts w:ascii="Verdana" w:eastAsia="Verdana" w:hAnsi="Verdana" w:cs="Verdana"/>
      <w:sz w:val="20"/>
      <w:szCs w:val="20"/>
      <w:lang w:val="en-US"/>
    </w:rPr>
  </w:style>
  <w:style w:type="character" w:customStyle="1" w:styleId="BodyTextChar">
    <w:name w:val="Body Text Char"/>
    <w:link w:val="BodyText"/>
    <w:uiPriority w:val="1"/>
    <w:rsid w:val="00BC672F"/>
    <w:rPr>
      <w:rFonts w:ascii="Verdana" w:eastAsia="Verdana" w:hAnsi="Verdana" w:cs="Verdana"/>
      <w:lang w:val="en-US" w:eastAsia="en-US"/>
    </w:rPr>
  </w:style>
  <w:style w:type="character" w:styleId="CommentReference">
    <w:name w:val="annotation reference"/>
    <w:rsid w:val="00F5080C"/>
    <w:rPr>
      <w:sz w:val="16"/>
      <w:szCs w:val="16"/>
    </w:rPr>
  </w:style>
  <w:style w:type="paragraph" w:styleId="CommentText">
    <w:name w:val="annotation text"/>
    <w:basedOn w:val="Normal"/>
    <w:link w:val="CommentTextChar"/>
    <w:rsid w:val="00F5080C"/>
    <w:rPr>
      <w:sz w:val="20"/>
      <w:szCs w:val="20"/>
    </w:rPr>
  </w:style>
  <w:style w:type="character" w:customStyle="1" w:styleId="CommentTextChar">
    <w:name w:val="Comment Text Char"/>
    <w:link w:val="CommentText"/>
    <w:rsid w:val="00F5080C"/>
    <w:rPr>
      <w:rFonts w:ascii="Arial" w:hAnsi="Arial"/>
      <w:lang w:eastAsia="en-US"/>
    </w:rPr>
  </w:style>
  <w:style w:type="paragraph" w:styleId="CommentSubject">
    <w:name w:val="annotation subject"/>
    <w:basedOn w:val="CommentText"/>
    <w:next w:val="CommentText"/>
    <w:link w:val="CommentSubjectChar"/>
    <w:rsid w:val="00F5080C"/>
    <w:rPr>
      <w:b/>
      <w:bCs/>
    </w:rPr>
  </w:style>
  <w:style w:type="character" w:customStyle="1" w:styleId="CommentSubjectChar">
    <w:name w:val="Comment Subject Char"/>
    <w:link w:val="CommentSubject"/>
    <w:rsid w:val="00F5080C"/>
    <w:rPr>
      <w:rFonts w:ascii="Arial" w:hAnsi="Arial"/>
      <w:b/>
      <w:bCs/>
      <w:lang w:eastAsia="en-US"/>
    </w:rPr>
  </w:style>
  <w:style w:type="paragraph" w:styleId="BalloonText">
    <w:name w:val="Balloon Text"/>
    <w:basedOn w:val="Normal"/>
    <w:link w:val="BalloonTextChar"/>
    <w:rsid w:val="00720067"/>
    <w:rPr>
      <w:rFonts w:ascii="Segoe UI" w:hAnsi="Segoe UI" w:cs="Segoe UI"/>
      <w:sz w:val="18"/>
      <w:szCs w:val="18"/>
    </w:rPr>
  </w:style>
  <w:style w:type="character" w:customStyle="1" w:styleId="BalloonTextChar">
    <w:name w:val="Balloon Text Char"/>
    <w:link w:val="BalloonText"/>
    <w:rsid w:val="00720067"/>
    <w:rPr>
      <w:rFonts w:ascii="Segoe UI" w:hAnsi="Segoe UI" w:cs="Segoe UI"/>
      <w:sz w:val="18"/>
      <w:szCs w:val="18"/>
      <w:lang w:eastAsia="en-US"/>
    </w:rPr>
  </w:style>
  <w:style w:type="character" w:customStyle="1" w:styleId="Heading2Char">
    <w:name w:val="Heading 2 Char"/>
    <w:link w:val="Heading2"/>
    <w:semiHidden/>
    <w:rsid w:val="004622AE"/>
    <w:rPr>
      <w:rFonts w:ascii="Aptos Display" w:eastAsia="Times New Roman" w:hAnsi="Aptos Display"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6821">
      <w:bodyDiv w:val="1"/>
      <w:marLeft w:val="0"/>
      <w:marRight w:val="0"/>
      <w:marTop w:val="0"/>
      <w:marBottom w:val="0"/>
      <w:divBdr>
        <w:top w:val="none" w:sz="0" w:space="0" w:color="auto"/>
        <w:left w:val="none" w:sz="0" w:space="0" w:color="auto"/>
        <w:bottom w:val="none" w:sz="0" w:space="0" w:color="auto"/>
        <w:right w:val="none" w:sz="0" w:space="0" w:color="auto"/>
      </w:divBdr>
      <w:divsChild>
        <w:div w:id="326518459">
          <w:marLeft w:val="0"/>
          <w:marRight w:val="0"/>
          <w:marTop w:val="0"/>
          <w:marBottom w:val="0"/>
          <w:divBdr>
            <w:top w:val="none" w:sz="0" w:space="0" w:color="auto"/>
            <w:left w:val="none" w:sz="0" w:space="0" w:color="auto"/>
            <w:bottom w:val="none" w:sz="0" w:space="0" w:color="auto"/>
            <w:right w:val="none" w:sz="0" w:space="0" w:color="auto"/>
          </w:divBdr>
        </w:div>
        <w:div w:id="442458679">
          <w:marLeft w:val="0"/>
          <w:marRight w:val="0"/>
          <w:marTop w:val="0"/>
          <w:marBottom w:val="0"/>
          <w:divBdr>
            <w:top w:val="none" w:sz="0" w:space="0" w:color="auto"/>
            <w:left w:val="none" w:sz="0" w:space="0" w:color="auto"/>
            <w:bottom w:val="none" w:sz="0" w:space="0" w:color="auto"/>
            <w:right w:val="none" w:sz="0" w:space="0" w:color="auto"/>
          </w:divBdr>
        </w:div>
        <w:div w:id="697924877">
          <w:marLeft w:val="0"/>
          <w:marRight w:val="0"/>
          <w:marTop w:val="0"/>
          <w:marBottom w:val="0"/>
          <w:divBdr>
            <w:top w:val="none" w:sz="0" w:space="0" w:color="auto"/>
            <w:left w:val="none" w:sz="0" w:space="0" w:color="auto"/>
            <w:bottom w:val="none" w:sz="0" w:space="0" w:color="auto"/>
            <w:right w:val="none" w:sz="0" w:space="0" w:color="auto"/>
          </w:divBdr>
        </w:div>
        <w:div w:id="1182083676">
          <w:marLeft w:val="0"/>
          <w:marRight w:val="0"/>
          <w:marTop w:val="0"/>
          <w:marBottom w:val="0"/>
          <w:divBdr>
            <w:top w:val="none" w:sz="0" w:space="0" w:color="auto"/>
            <w:left w:val="none" w:sz="0" w:space="0" w:color="auto"/>
            <w:bottom w:val="none" w:sz="0" w:space="0" w:color="auto"/>
            <w:right w:val="none" w:sz="0" w:space="0" w:color="auto"/>
          </w:divBdr>
        </w:div>
      </w:divsChild>
    </w:div>
    <w:div w:id="96802890">
      <w:bodyDiv w:val="1"/>
      <w:marLeft w:val="0"/>
      <w:marRight w:val="0"/>
      <w:marTop w:val="0"/>
      <w:marBottom w:val="0"/>
      <w:divBdr>
        <w:top w:val="none" w:sz="0" w:space="0" w:color="auto"/>
        <w:left w:val="none" w:sz="0" w:space="0" w:color="auto"/>
        <w:bottom w:val="none" w:sz="0" w:space="0" w:color="auto"/>
        <w:right w:val="none" w:sz="0" w:space="0" w:color="auto"/>
      </w:divBdr>
    </w:div>
    <w:div w:id="229583070">
      <w:bodyDiv w:val="1"/>
      <w:marLeft w:val="0"/>
      <w:marRight w:val="0"/>
      <w:marTop w:val="0"/>
      <w:marBottom w:val="0"/>
      <w:divBdr>
        <w:top w:val="none" w:sz="0" w:space="0" w:color="auto"/>
        <w:left w:val="none" w:sz="0" w:space="0" w:color="auto"/>
        <w:bottom w:val="none" w:sz="0" w:space="0" w:color="auto"/>
        <w:right w:val="none" w:sz="0" w:space="0" w:color="auto"/>
      </w:divBdr>
    </w:div>
    <w:div w:id="558827870">
      <w:bodyDiv w:val="1"/>
      <w:marLeft w:val="0"/>
      <w:marRight w:val="0"/>
      <w:marTop w:val="0"/>
      <w:marBottom w:val="0"/>
      <w:divBdr>
        <w:top w:val="none" w:sz="0" w:space="0" w:color="auto"/>
        <w:left w:val="none" w:sz="0" w:space="0" w:color="auto"/>
        <w:bottom w:val="none" w:sz="0" w:space="0" w:color="auto"/>
        <w:right w:val="none" w:sz="0" w:space="0" w:color="auto"/>
      </w:divBdr>
    </w:div>
    <w:div w:id="680474393">
      <w:bodyDiv w:val="1"/>
      <w:marLeft w:val="0"/>
      <w:marRight w:val="0"/>
      <w:marTop w:val="0"/>
      <w:marBottom w:val="0"/>
      <w:divBdr>
        <w:top w:val="none" w:sz="0" w:space="0" w:color="auto"/>
        <w:left w:val="none" w:sz="0" w:space="0" w:color="auto"/>
        <w:bottom w:val="none" w:sz="0" w:space="0" w:color="auto"/>
        <w:right w:val="none" w:sz="0" w:space="0" w:color="auto"/>
      </w:divBdr>
    </w:div>
    <w:div w:id="744490821">
      <w:bodyDiv w:val="1"/>
      <w:marLeft w:val="0"/>
      <w:marRight w:val="0"/>
      <w:marTop w:val="0"/>
      <w:marBottom w:val="0"/>
      <w:divBdr>
        <w:top w:val="none" w:sz="0" w:space="0" w:color="auto"/>
        <w:left w:val="none" w:sz="0" w:space="0" w:color="auto"/>
        <w:bottom w:val="none" w:sz="0" w:space="0" w:color="auto"/>
        <w:right w:val="none" w:sz="0" w:space="0" w:color="auto"/>
      </w:divBdr>
    </w:div>
    <w:div w:id="814293900">
      <w:bodyDiv w:val="1"/>
      <w:marLeft w:val="0"/>
      <w:marRight w:val="0"/>
      <w:marTop w:val="0"/>
      <w:marBottom w:val="0"/>
      <w:divBdr>
        <w:top w:val="none" w:sz="0" w:space="0" w:color="auto"/>
        <w:left w:val="none" w:sz="0" w:space="0" w:color="auto"/>
        <w:bottom w:val="none" w:sz="0" w:space="0" w:color="auto"/>
        <w:right w:val="none" w:sz="0" w:space="0" w:color="auto"/>
      </w:divBdr>
      <w:divsChild>
        <w:div w:id="563879767">
          <w:marLeft w:val="0"/>
          <w:marRight w:val="0"/>
          <w:marTop w:val="0"/>
          <w:marBottom w:val="0"/>
          <w:divBdr>
            <w:top w:val="none" w:sz="0" w:space="0" w:color="auto"/>
            <w:left w:val="none" w:sz="0" w:space="0" w:color="auto"/>
            <w:bottom w:val="none" w:sz="0" w:space="0" w:color="auto"/>
            <w:right w:val="none" w:sz="0" w:space="0" w:color="auto"/>
          </w:divBdr>
        </w:div>
        <w:div w:id="1796017951">
          <w:marLeft w:val="0"/>
          <w:marRight w:val="0"/>
          <w:marTop w:val="0"/>
          <w:marBottom w:val="0"/>
          <w:divBdr>
            <w:top w:val="none" w:sz="0" w:space="0" w:color="auto"/>
            <w:left w:val="none" w:sz="0" w:space="0" w:color="auto"/>
            <w:bottom w:val="none" w:sz="0" w:space="0" w:color="auto"/>
            <w:right w:val="none" w:sz="0" w:space="0" w:color="auto"/>
          </w:divBdr>
        </w:div>
      </w:divsChild>
    </w:div>
    <w:div w:id="901135978">
      <w:bodyDiv w:val="1"/>
      <w:marLeft w:val="0"/>
      <w:marRight w:val="0"/>
      <w:marTop w:val="0"/>
      <w:marBottom w:val="0"/>
      <w:divBdr>
        <w:top w:val="none" w:sz="0" w:space="0" w:color="auto"/>
        <w:left w:val="none" w:sz="0" w:space="0" w:color="auto"/>
        <w:bottom w:val="none" w:sz="0" w:space="0" w:color="auto"/>
        <w:right w:val="none" w:sz="0" w:space="0" w:color="auto"/>
      </w:divBdr>
    </w:div>
    <w:div w:id="988241480">
      <w:bodyDiv w:val="1"/>
      <w:marLeft w:val="0"/>
      <w:marRight w:val="0"/>
      <w:marTop w:val="0"/>
      <w:marBottom w:val="0"/>
      <w:divBdr>
        <w:top w:val="none" w:sz="0" w:space="0" w:color="auto"/>
        <w:left w:val="none" w:sz="0" w:space="0" w:color="auto"/>
        <w:bottom w:val="none" w:sz="0" w:space="0" w:color="auto"/>
        <w:right w:val="none" w:sz="0" w:space="0" w:color="auto"/>
      </w:divBdr>
    </w:div>
    <w:div w:id="1033849814">
      <w:bodyDiv w:val="1"/>
      <w:marLeft w:val="0"/>
      <w:marRight w:val="0"/>
      <w:marTop w:val="0"/>
      <w:marBottom w:val="0"/>
      <w:divBdr>
        <w:top w:val="none" w:sz="0" w:space="0" w:color="auto"/>
        <w:left w:val="none" w:sz="0" w:space="0" w:color="auto"/>
        <w:bottom w:val="none" w:sz="0" w:space="0" w:color="auto"/>
        <w:right w:val="none" w:sz="0" w:space="0" w:color="auto"/>
      </w:divBdr>
    </w:div>
    <w:div w:id="1048527988">
      <w:bodyDiv w:val="1"/>
      <w:marLeft w:val="0"/>
      <w:marRight w:val="0"/>
      <w:marTop w:val="0"/>
      <w:marBottom w:val="0"/>
      <w:divBdr>
        <w:top w:val="none" w:sz="0" w:space="0" w:color="auto"/>
        <w:left w:val="none" w:sz="0" w:space="0" w:color="auto"/>
        <w:bottom w:val="none" w:sz="0" w:space="0" w:color="auto"/>
        <w:right w:val="none" w:sz="0" w:space="0" w:color="auto"/>
      </w:divBdr>
    </w:div>
    <w:div w:id="1140540893">
      <w:bodyDiv w:val="1"/>
      <w:marLeft w:val="0"/>
      <w:marRight w:val="0"/>
      <w:marTop w:val="0"/>
      <w:marBottom w:val="0"/>
      <w:divBdr>
        <w:top w:val="none" w:sz="0" w:space="0" w:color="auto"/>
        <w:left w:val="none" w:sz="0" w:space="0" w:color="auto"/>
        <w:bottom w:val="none" w:sz="0" w:space="0" w:color="auto"/>
        <w:right w:val="none" w:sz="0" w:space="0" w:color="auto"/>
      </w:divBdr>
    </w:div>
    <w:div w:id="1274942348">
      <w:bodyDiv w:val="1"/>
      <w:marLeft w:val="0"/>
      <w:marRight w:val="0"/>
      <w:marTop w:val="0"/>
      <w:marBottom w:val="0"/>
      <w:divBdr>
        <w:top w:val="none" w:sz="0" w:space="0" w:color="auto"/>
        <w:left w:val="none" w:sz="0" w:space="0" w:color="auto"/>
        <w:bottom w:val="none" w:sz="0" w:space="0" w:color="auto"/>
        <w:right w:val="none" w:sz="0" w:space="0" w:color="auto"/>
      </w:divBdr>
      <w:divsChild>
        <w:div w:id="326784042">
          <w:marLeft w:val="0"/>
          <w:marRight w:val="0"/>
          <w:marTop w:val="0"/>
          <w:marBottom w:val="0"/>
          <w:divBdr>
            <w:top w:val="none" w:sz="0" w:space="0" w:color="auto"/>
            <w:left w:val="none" w:sz="0" w:space="0" w:color="auto"/>
            <w:bottom w:val="none" w:sz="0" w:space="0" w:color="auto"/>
            <w:right w:val="none" w:sz="0" w:space="0" w:color="auto"/>
          </w:divBdr>
        </w:div>
        <w:div w:id="1779832375">
          <w:marLeft w:val="0"/>
          <w:marRight w:val="0"/>
          <w:marTop w:val="0"/>
          <w:marBottom w:val="0"/>
          <w:divBdr>
            <w:top w:val="none" w:sz="0" w:space="0" w:color="auto"/>
            <w:left w:val="none" w:sz="0" w:space="0" w:color="auto"/>
            <w:bottom w:val="none" w:sz="0" w:space="0" w:color="auto"/>
            <w:right w:val="none" w:sz="0" w:space="0" w:color="auto"/>
          </w:divBdr>
        </w:div>
      </w:divsChild>
    </w:div>
    <w:div w:id="1316760841">
      <w:bodyDiv w:val="1"/>
      <w:marLeft w:val="0"/>
      <w:marRight w:val="0"/>
      <w:marTop w:val="0"/>
      <w:marBottom w:val="0"/>
      <w:divBdr>
        <w:top w:val="none" w:sz="0" w:space="0" w:color="auto"/>
        <w:left w:val="none" w:sz="0" w:space="0" w:color="auto"/>
        <w:bottom w:val="none" w:sz="0" w:space="0" w:color="auto"/>
        <w:right w:val="none" w:sz="0" w:space="0" w:color="auto"/>
      </w:divBdr>
    </w:div>
    <w:div w:id="1465351312">
      <w:bodyDiv w:val="1"/>
      <w:marLeft w:val="0"/>
      <w:marRight w:val="0"/>
      <w:marTop w:val="0"/>
      <w:marBottom w:val="0"/>
      <w:divBdr>
        <w:top w:val="none" w:sz="0" w:space="0" w:color="auto"/>
        <w:left w:val="none" w:sz="0" w:space="0" w:color="auto"/>
        <w:bottom w:val="none" w:sz="0" w:space="0" w:color="auto"/>
        <w:right w:val="none" w:sz="0" w:space="0" w:color="auto"/>
      </w:divBdr>
      <w:divsChild>
        <w:div w:id="1008602208">
          <w:marLeft w:val="0"/>
          <w:marRight w:val="0"/>
          <w:marTop w:val="0"/>
          <w:marBottom w:val="0"/>
          <w:divBdr>
            <w:top w:val="none" w:sz="0" w:space="0" w:color="auto"/>
            <w:left w:val="none" w:sz="0" w:space="0" w:color="auto"/>
            <w:bottom w:val="none" w:sz="0" w:space="0" w:color="auto"/>
            <w:right w:val="none" w:sz="0" w:space="0" w:color="auto"/>
          </w:divBdr>
        </w:div>
        <w:div w:id="1429425566">
          <w:marLeft w:val="0"/>
          <w:marRight w:val="0"/>
          <w:marTop w:val="0"/>
          <w:marBottom w:val="0"/>
          <w:divBdr>
            <w:top w:val="none" w:sz="0" w:space="0" w:color="auto"/>
            <w:left w:val="none" w:sz="0" w:space="0" w:color="auto"/>
            <w:bottom w:val="none" w:sz="0" w:space="0" w:color="auto"/>
            <w:right w:val="none" w:sz="0" w:space="0" w:color="auto"/>
          </w:divBdr>
        </w:div>
        <w:div w:id="1545753859">
          <w:marLeft w:val="0"/>
          <w:marRight w:val="0"/>
          <w:marTop w:val="0"/>
          <w:marBottom w:val="0"/>
          <w:divBdr>
            <w:top w:val="none" w:sz="0" w:space="0" w:color="auto"/>
            <w:left w:val="none" w:sz="0" w:space="0" w:color="auto"/>
            <w:bottom w:val="none" w:sz="0" w:space="0" w:color="auto"/>
            <w:right w:val="none" w:sz="0" w:space="0" w:color="auto"/>
          </w:divBdr>
        </w:div>
        <w:div w:id="1953778178">
          <w:marLeft w:val="0"/>
          <w:marRight w:val="0"/>
          <w:marTop w:val="0"/>
          <w:marBottom w:val="0"/>
          <w:divBdr>
            <w:top w:val="none" w:sz="0" w:space="0" w:color="auto"/>
            <w:left w:val="none" w:sz="0" w:space="0" w:color="auto"/>
            <w:bottom w:val="none" w:sz="0" w:space="0" w:color="auto"/>
            <w:right w:val="none" w:sz="0" w:space="0" w:color="auto"/>
          </w:divBdr>
        </w:div>
      </w:divsChild>
    </w:div>
    <w:div w:id="1472599843">
      <w:bodyDiv w:val="1"/>
      <w:marLeft w:val="0"/>
      <w:marRight w:val="0"/>
      <w:marTop w:val="0"/>
      <w:marBottom w:val="0"/>
      <w:divBdr>
        <w:top w:val="none" w:sz="0" w:space="0" w:color="auto"/>
        <w:left w:val="none" w:sz="0" w:space="0" w:color="auto"/>
        <w:bottom w:val="none" w:sz="0" w:space="0" w:color="auto"/>
        <w:right w:val="none" w:sz="0" w:space="0" w:color="auto"/>
      </w:divBdr>
    </w:div>
    <w:div w:id="1581787550">
      <w:bodyDiv w:val="1"/>
      <w:marLeft w:val="0"/>
      <w:marRight w:val="0"/>
      <w:marTop w:val="0"/>
      <w:marBottom w:val="0"/>
      <w:divBdr>
        <w:top w:val="none" w:sz="0" w:space="0" w:color="auto"/>
        <w:left w:val="none" w:sz="0" w:space="0" w:color="auto"/>
        <w:bottom w:val="none" w:sz="0" w:space="0" w:color="auto"/>
        <w:right w:val="none" w:sz="0" w:space="0" w:color="auto"/>
      </w:divBdr>
    </w:div>
    <w:div w:id="191123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Davis\Application%20Data\Microsoft\Templates\JD%20LBH%20A4%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64DA8EBB7B7640BB9C6DEE472B4418" ma:contentTypeVersion="10" ma:contentTypeDescription="Create a new document." ma:contentTypeScope="" ma:versionID="6c4937f76c0520c4d9eac424df63950e">
  <xsd:schema xmlns:xsd="http://www.w3.org/2001/XMLSchema" xmlns:xs="http://www.w3.org/2001/XMLSchema" xmlns:p="http://schemas.microsoft.com/office/2006/metadata/properties" xmlns:ns3="e3a966b9-8ac4-44af-91d9-1a37cc49fba2" xmlns:ns4="96f74624-60fe-422c-8485-bcefc9ce3837" targetNamespace="http://schemas.microsoft.com/office/2006/metadata/properties" ma:root="true" ma:fieldsID="94467e04752577a74c8e86f269c58164" ns3:_="" ns4:_="">
    <xsd:import namespace="e3a966b9-8ac4-44af-91d9-1a37cc49fba2"/>
    <xsd:import namespace="96f74624-60fe-422c-8485-bcefc9ce383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966b9-8ac4-44af-91d9-1a37cc49f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74624-60fe-422c-8485-bcefc9ce383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4079DD-BCA8-4385-A02C-33B14745A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966b9-8ac4-44af-91d9-1a37cc49fba2"/>
    <ds:schemaRef ds:uri="96f74624-60fe-422c-8485-bcefc9ce3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6E51D0-EDDE-44C7-8F79-4BD8D993E7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C17068-8649-46B3-AE82-078FB3CA5F6C}">
  <ds:schemaRefs>
    <ds:schemaRef ds:uri="http://schemas.microsoft.com/sharepoint/v3/contenttype/forms"/>
  </ds:schemaRefs>
</ds:datastoreItem>
</file>

<file path=customXml/itemProps4.xml><?xml version="1.0" encoding="utf-8"?>
<ds:datastoreItem xmlns:ds="http://schemas.openxmlformats.org/officeDocument/2006/customXml" ds:itemID="{EAA4F100-D793-4300-873F-509F5663B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JD LBH A4 letter.dot</Template>
  <TotalTime>1</TotalTime>
  <Pages>9</Pages>
  <Words>3271</Words>
  <Characters>18648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Person’s Name</vt:lpstr>
    </vt:vector>
  </TitlesOfParts>
  <Company>London Borough of Hillingdon</Company>
  <LinksUpToDate>false</LinksUpToDate>
  <CharactersWithSpaces>21876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Person’s Name</dc:title>
  <dc:subject/>
  <dc:creator>Corporate ICT</dc:creator>
  <cp:keywords/>
  <cp:lastModifiedBy>John Allum</cp:lastModifiedBy>
  <cp:revision>2</cp:revision>
  <cp:lastPrinted>2024-11-05T13:42:00Z</cp:lastPrinted>
  <dcterms:created xsi:type="dcterms:W3CDTF">2026-07-22T11:01:00Z</dcterms:created>
  <dcterms:modified xsi:type="dcterms:W3CDTF">2026-07-22T11:01:00Z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0x0101000864DA8EBB7B7640BB9C6DEE472B4418</vt:lpwstr>
  </property>
  <property fmtid="{D5CDD505-2E9C-101B-9397-08002B2CF9AE}" pid="3" name="MSIP_Label_7a8edf35-91ea-44e1-afab-38c462b39a0c_Enabled">
    <vt:lpwstr>true</vt:lpwstr>
  </property>
  <property fmtid="{D5CDD505-2E9C-101B-9397-08002B2CF9AE}" pid="4" name="MSIP_Label_7a8edf35-91ea-44e1-afab-38c462b39a0c_SetDate">
    <vt:lpwstr>2021-08-11T09:33:02Z</vt:lpwstr>
  </property>
  <property fmtid="{D5CDD505-2E9C-101B-9397-08002B2CF9AE}" pid="5" name="MSIP_Label_7a8edf35-91ea-44e1-afab-38c462b39a0c_Method">
    <vt:lpwstr>Standard</vt:lpwstr>
  </property>
  <property fmtid="{D5CDD505-2E9C-101B-9397-08002B2CF9AE}" pid="6" name="MSIP_Label_7a8edf35-91ea-44e1-afab-38c462b39a0c_Name">
    <vt:lpwstr>Official</vt:lpwstr>
  </property>
  <property fmtid="{D5CDD505-2E9C-101B-9397-08002B2CF9AE}" pid="7" name="MSIP_Label_7a8edf35-91ea-44e1-afab-38c462b39a0c_SiteId">
    <vt:lpwstr>aaacb679-c381-48fb-b320-f9d581ee948f</vt:lpwstr>
  </property>
  <property fmtid="{D5CDD505-2E9C-101B-9397-08002B2CF9AE}" pid="8" name="MSIP_Label_7a8edf35-91ea-44e1-afab-38c462b39a0c_ActionId">
    <vt:lpwstr>a746ddf4-80a0-4a57-a0ad-c1f4df6a8425</vt:lpwstr>
  </property>
  <property fmtid="{D5CDD505-2E9C-101B-9397-08002B2CF9AE}" pid="9" name="MSIP_Label_7a8edf35-91ea-44e1-afab-38c462b39a0c_ContentBits">
    <vt:lpwstr>0</vt:lpwstr>
  </property>
</Properties>
</file>