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5DAD1" w14:textId="77777777" w:rsidR="00861358" w:rsidRPr="00313361" w:rsidRDefault="00861358" w:rsidP="00861358">
      <w:pPr>
        <w:rPr>
          <w:rFonts w:ascii="Arial" w:eastAsia="Times New Roman" w:hAnsi="Arial" w:cs="Arial"/>
          <w:b/>
          <w:bCs/>
          <w:color w:val="505A5F"/>
          <w:kern w:val="0"/>
          <w:sz w:val="22"/>
          <w:szCs w:val="22"/>
          <w:shd w:val="clear" w:color="auto" w:fill="FFFFFF"/>
          <w:lang w:eastAsia="en-GB"/>
          <w14:ligatures w14:val="none"/>
        </w:rPr>
      </w:pPr>
      <w:r w:rsidRPr="00313361">
        <w:rPr>
          <w:rFonts w:ascii="Arial" w:eastAsia="Times New Roman" w:hAnsi="Arial" w:cs="Arial"/>
          <w:b/>
          <w:bCs/>
          <w:color w:val="505A5F"/>
          <w:kern w:val="0"/>
          <w:sz w:val="22"/>
          <w:szCs w:val="22"/>
          <w:shd w:val="clear" w:color="auto" w:fill="FFFFFF"/>
          <w:lang w:eastAsia="en-GB"/>
          <w14:ligatures w14:val="none"/>
        </w:rPr>
        <w:t>Appeal 6008246</w:t>
      </w:r>
    </w:p>
    <w:p w14:paraId="48985DFE" w14:textId="77777777" w:rsidR="00861358" w:rsidRPr="00861358" w:rsidRDefault="00861358" w:rsidP="00861358">
      <w:pPr>
        <w:rPr>
          <w:rFonts w:ascii="Arial" w:eastAsia="Times New Roman" w:hAnsi="Arial" w:cs="Arial"/>
          <w:b/>
          <w:bCs/>
          <w:color w:val="505A5F"/>
          <w:kern w:val="0"/>
          <w:sz w:val="22"/>
          <w:szCs w:val="22"/>
          <w:shd w:val="clear" w:color="auto" w:fill="FFFFFF"/>
          <w:lang w:eastAsia="en-GB"/>
          <w14:ligatures w14:val="none"/>
        </w:rPr>
      </w:pPr>
      <w:r w:rsidRPr="00861358">
        <w:rPr>
          <w:rFonts w:ascii="Arial" w:eastAsia="Times New Roman" w:hAnsi="Arial" w:cs="Arial"/>
          <w:b/>
          <w:bCs/>
          <w:color w:val="505A5F"/>
          <w:kern w:val="0"/>
          <w:sz w:val="22"/>
          <w:szCs w:val="22"/>
          <w:shd w:val="clear" w:color="auto" w:fill="FFFFFF"/>
          <w:lang w:eastAsia="en-GB"/>
          <w14:ligatures w14:val="none"/>
        </w:rPr>
        <w:t>Your statement</w:t>
      </w:r>
    </w:p>
    <w:p w14:paraId="185AA4F4" w14:textId="77777777" w:rsidR="00861358" w:rsidRPr="00861358" w:rsidRDefault="00861358" w:rsidP="00861358">
      <w:pPr>
        <w:rPr>
          <w:rFonts w:ascii="Arial" w:eastAsia="Times New Roman" w:hAnsi="Arial" w:cs="Arial"/>
          <w:b/>
          <w:bCs/>
          <w:color w:val="505A5F"/>
          <w:kern w:val="0"/>
          <w:sz w:val="22"/>
          <w:szCs w:val="22"/>
          <w:shd w:val="clear" w:color="auto" w:fill="FFFFFF"/>
          <w:lang w:eastAsia="en-GB"/>
          <w14:ligatures w14:val="none"/>
        </w:rPr>
      </w:pPr>
      <w:r w:rsidRPr="00861358">
        <w:rPr>
          <w:rFonts w:ascii="Arial" w:eastAsia="Times New Roman" w:hAnsi="Arial" w:cs="Arial"/>
          <w:b/>
          <w:bCs/>
          <w:color w:val="505A5F"/>
          <w:kern w:val="0"/>
          <w:sz w:val="22"/>
          <w:szCs w:val="22"/>
          <w:shd w:val="clear" w:color="auto" w:fill="FFFFFF"/>
          <w:lang w:eastAsia="en-GB"/>
          <w14:ligatures w14:val="none"/>
        </w:rPr>
        <w:t>Appeal type</w:t>
      </w:r>
    </w:p>
    <w:p w14:paraId="6876E9A6" w14:textId="77777777" w:rsidR="00861358" w:rsidRPr="00861358" w:rsidRDefault="00861358" w:rsidP="00861358">
      <w:pPr>
        <w:rPr>
          <w:rFonts w:ascii="Arial" w:eastAsia="Times New Roman" w:hAnsi="Arial" w:cs="Arial"/>
          <w:b/>
          <w:bCs/>
          <w:color w:val="505A5F"/>
          <w:kern w:val="0"/>
          <w:sz w:val="22"/>
          <w:szCs w:val="22"/>
          <w:shd w:val="clear" w:color="auto" w:fill="FFFFFF"/>
          <w:lang w:eastAsia="en-GB"/>
          <w14:ligatures w14:val="none"/>
        </w:rPr>
      </w:pPr>
      <w:r w:rsidRPr="00861358">
        <w:rPr>
          <w:rFonts w:ascii="Arial" w:eastAsia="Times New Roman" w:hAnsi="Arial" w:cs="Arial"/>
          <w:b/>
          <w:bCs/>
          <w:color w:val="505A5F"/>
          <w:kern w:val="0"/>
          <w:sz w:val="22"/>
          <w:szCs w:val="22"/>
          <w:shd w:val="clear" w:color="auto" w:fill="FFFFFF"/>
          <w:lang w:eastAsia="en-GB"/>
          <w14:ligatures w14:val="none"/>
        </w:rPr>
        <w:t>Planning</w:t>
      </w:r>
    </w:p>
    <w:p w14:paraId="34EE6A4F" w14:textId="77777777" w:rsidR="00861358" w:rsidRPr="00861358" w:rsidRDefault="00861358" w:rsidP="00861358">
      <w:pPr>
        <w:rPr>
          <w:rFonts w:ascii="Arial" w:eastAsia="Times New Roman" w:hAnsi="Arial" w:cs="Arial"/>
          <w:b/>
          <w:bCs/>
          <w:color w:val="505A5F"/>
          <w:kern w:val="0"/>
          <w:sz w:val="22"/>
          <w:szCs w:val="22"/>
          <w:shd w:val="clear" w:color="auto" w:fill="FFFFFF"/>
          <w:lang w:eastAsia="en-GB"/>
          <w14:ligatures w14:val="none"/>
        </w:rPr>
      </w:pPr>
      <w:r w:rsidRPr="00861358">
        <w:rPr>
          <w:rFonts w:ascii="Arial" w:eastAsia="Times New Roman" w:hAnsi="Arial" w:cs="Arial"/>
          <w:b/>
          <w:bCs/>
          <w:color w:val="505A5F"/>
          <w:kern w:val="0"/>
          <w:sz w:val="22"/>
          <w:szCs w:val="22"/>
          <w:shd w:val="clear" w:color="auto" w:fill="FFFFFF"/>
          <w:lang w:eastAsia="en-GB"/>
          <w14:ligatures w14:val="none"/>
        </w:rPr>
        <w:t>Appeal procedure</w:t>
      </w:r>
    </w:p>
    <w:p w14:paraId="39712CD8" w14:textId="77777777" w:rsidR="00861358" w:rsidRPr="00861358" w:rsidRDefault="00861358" w:rsidP="00861358">
      <w:pPr>
        <w:rPr>
          <w:rFonts w:ascii="Arial" w:eastAsia="Times New Roman" w:hAnsi="Arial" w:cs="Arial"/>
          <w:b/>
          <w:bCs/>
          <w:color w:val="505A5F"/>
          <w:kern w:val="0"/>
          <w:sz w:val="22"/>
          <w:szCs w:val="22"/>
          <w:shd w:val="clear" w:color="auto" w:fill="FFFFFF"/>
          <w:lang w:eastAsia="en-GB"/>
          <w14:ligatures w14:val="none"/>
        </w:rPr>
      </w:pPr>
      <w:r w:rsidRPr="00861358">
        <w:rPr>
          <w:rFonts w:ascii="Arial" w:eastAsia="Times New Roman" w:hAnsi="Arial" w:cs="Arial"/>
          <w:b/>
          <w:bCs/>
          <w:color w:val="505A5F"/>
          <w:kern w:val="0"/>
          <w:sz w:val="22"/>
          <w:szCs w:val="22"/>
          <w:shd w:val="clear" w:color="auto" w:fill="FFFFFF"/>
          <w:lang w:eastAsia="en-GB"/>
          <w14:ligatures w14:val="none"/>
        </w:rPr>
        <w:t>Written</w:t>
      </w:r>
    </w:p>
    <w:p w14:paraId="45D233A2" w14:textId="77777777" w:rsidR="00861358" w:rsidRPr="00861358" w:rsidRDefault="00861358" w:rsidP="00861358">
      <w:pPr>
        <w:rPr>
          <w:rFonts w:ascii="Arial" w:eastAsia="Times New Roman" w:hAnsi="Arial" w:cs="Arial"/>
          <w:b/>
          <w:bCs/>
          <w:color w:val="505A5F"/>
          <w:kern w:val="0"/>
          <w:sz w:val="22"/>
          <w:szCs w:val="22"/>
          <w:shd w:val="clear" w:color="auto" w:fill="FFFFFF"/>
          <w:lang w:eastAsia="en-GB"/>
          <w14:ligatures w14:val="none"/>
        </w:rPr>
      </w:pPr>
      <w:r w:rsidRPr="00861358">
        <w:rPr>
          <w:rFonts w:ascii="Arial" w:eastAsia="Times New Roman" w:hAnsi="Arial" w:cs="Arial"/>
          <w:b/>
          <w:bCs/>
          <w:color w:val="505A5F"/>
          <w:kern w:val="0"/>
          <w:sz w:val="22"/>
          <w:szCs w:val="22"/>
          <w:shd w:val="clear" w:color="auto" w:fill="FFFFFF"/>
          <w:lang w:eastAsia="en-GB"/>
          <w14:ligatures w14:val="none"/>
        </w:rPr>
        <w:t>Appeal site</w:t>
      </w:r>
    </w:p>
    <w:p w14:paraId="2C13AD89" w14:textId="77777777" w:rsidR="00861358" w:rsidRPr="00861358" w:rsidRDefault="00861358" w:rsidP="00861358">
      <w:pPr>
        <w:rPr>
          <w:rFonts w:ascii="Arial" w:eastAsia="Times New Roman" w:hAnsi="Arial" w:cs="Arial"/>
          <w:b/>
          <w:bCs/>
          <w:color w:val="505A5F"/>
          <w:kern w:val="0"/>
          <w:sz w:val="22"/>
          <w:szCs w:val="22"/>
          <w:shd w:val="clear" w:color="auto" w:fill="FFFFFF"/>
          <w:lang w:eastAsia="en-GB"/>
          <w14:ligatures w14:val="none"/>
        </w:rPr>
      </w:pPr>
      <w:r w:rsidRPr="00861358">
        <w:rPr>
          <w:rFonts w:ascii="Arial" w:eastAsia="Times New Roman" w:hAnsi="Arial" w:cs="Arial"/>
          <w:b/>
          <w:bCs/>
          <w:color w:val="505A5F"/>
          <w:kern w:val="0"/>
          <w:sz w:val="22"/>
          <w:szCs w:val="22"/>
          <w:shd w:val="clear" w:color="auto" w:fill="FFFFFF"/>
          <w:lang w:eastAsia="en-GB"/>
          <w14:ligatures w14:val="none"/>
        </w:rPr>
        <w:t>21 Green Lane, Hillingdon, Uxbridge, UB8 3ED</w:t>
      </w:r>
    </w:p>
    <w:p w14:paraId="11B539E0" w14:textId="77777777" w:rsidR="00861358" w:rsidRPr="00861358" w:rsidRDefault="00861358" w:rsidP="00861358">
      <w:pPr>
        <w:rPr>
          <w:rFonts w:ascii="Arial" w:eastAsia="Times New Roman" w:hAnsi="Arial" w:cs="Arial"/>
          <w:b/>
          <w:bCs/>
          <w:color w:val="505A5F"/>
          <w:kern w:val="0"/>
          <w:sz w:val="22"/>
          <w:szCs w:val="22"/>
          <w:shd w:val="clear" w:color="auto" w:fill="FFFFFF"/>
          <w:lang w:eastAsia="en-GB"/>
          <w14:ligatures w14:val="none"/>
        </w:rPr>
      </w:pPr>
      <w:r w:rsidRPr="00861358">
        <w:rPr>
          <w:rFonts w:ascii="Arial" w:eastAsia="Times New Roman" w:hAnsi="Arial" w:cs="Arial"/>
          <w:b/>
          <w:bCs/>
          <w:color w:val="505A5F"/>
          <w:kern w:val="0"/>
          <w:sz w:val="22"/>
          <w:szCs w:val="22"/>
          <w:shd w:val="clear" w:color="auto" w:fill="FFFFFF"/>
          <w:lang w:eastAsia="en-GB"/>
          <w14:ligatures w14:val="none"/>
        </w:rPr>
        <w:t>Local planning authority</w:t>
      </w:r>
    </w:p>
    <w:p w14:paraId="707A0BFB" w14:textId="77777777" w:rsidR="00861358" w:rsidRPr="00861358" w:rsidRDefault="00861358" w:rsidP="00861358">
      <w:pPr>
        <w:rPr>
          <w:rFonts w:ascii="Arial" w:eastAsia="Times New Roman" w:hAnsi="Arial" w:cs="Arial"/>
          <w:b/>
          <w:bCs/>
          <w:color w:val="505A5F"/>
          <w:kern w:val="0"/>
          <w:sz w:val="22"/>
          <w:szCs w:val="22"/>
          <w:shd w:val="clear" w:color="auto" w:fill="FFFFFF"/>
          <w:lang w:eastAsia="en-GB"/>
          <w14:ligatures w14:val="none"/>
        </w:rPr>
      </w:pPr>
      <w:r w:rsidRPr="00861358">
        <w:rPr>
          <w:rFonts w:ascii="Arial" w:eastAsia="Times New Roman" w:hAnsi="Arial" w:cs="Arial"/>
          <w:b/>
          <w:bCs/>
          <w:color w:val="505A5F"/>
          <w:kern w:val="0"/>
          <w:sz w:val="22"/>
          <w:szCs w:val="22"/>
          <w:shd w:val="clear" w:color="auto" w:fill="FFFFFF"/>
          <w:lang w:eastAsia="en-GB"/>
          <w14:ligatures w14:val="none"/>
        </w:rPr>
        <w:t>London Borough of Hillingdon</w:t>
      </w:r>
    </w:p>
    <w:p w14:paraId="152A9293" w14:textId="77777777" w:rsidR="00861358" w:rsidRPr="00861358" w:rsidRDefault="00861358" w:rsidP="00861358">
      <w:pPr>
        <w:rPr>
          <w:rFonts w:ascii="Arial" w:eastAsia="Times New Roman" w:hAnsi="Arial" w:cs="Arial"/>
          <w:b/>
          <w:bCs/>
          <w:color w:val="505A5F"/>
          <w:kern w:val="0"/>
          <w:sz w:val="22"/>
          <w:szCs w:val="22"/>
          <w:shd w:val="clear" w:color="auto" w:fill="FFFFFF"/>
          <w:lang w:eastAsia="en-GB"/>
          <w14:ligatures w14:val="none"/>
        </w:rPr>
      </w:pPr>
      <w:r w:rsidRPr="00861358">
        <w:rPr>
          <w:rFonts w:ascii="Arial" w:eastAsia="Times New Roman" w:hAnsi="Arial" w:cs="Arial"/>
          <w:b/>
          <w:bCs/>
          <w:color w:val="505A5F"/>
          <w:kern w:val="0"/>
          <w:sz w:val="22"/>
          <w:szCs w:val="22"/>
          <w:shd w:val="clear" w:color="auto" w:fill="FFFFFF"/>
          <w:lang w:eastAsia="en-GB"/>
          <w14:ligatures w14:val="none"/>
        </w:rPr>
        <w:t>Application number</w:t>
      </w:r>
    </w:p>
    <w:p w14:paraId="1D45C495" w14:textId="77777777" w:rsidR="00861358" w:rsidRPr="00861358" w:rsidRDefault="00861358" w:rsidP="00861358">
      <w:pPr>
        <w:rPr>
          <w:rFonts w:ascii="Arial" w:eastAsia="Times New Roman" w:hAnsi="Arial" w:cs="Arial"/>
          <w:b/>
          <w:bCs/>
          <w:color w:val="505A5F"/>
          <w:kern w:val="0"/>
          <w:sz w:val="22"/>
          <w:szCs w:val="22"/>
          <w:shd w:val="clear" w:color="auto" w:fill="FFFFFF"/>
          <w:lang w:eastAsia="en-GB"/>
          <w14:ligatures w14:val="none"/>
        </w:rPr>
      </w:pPr>
      <w:r w:rsidRPr="00861358">
        <w:rPr>
          <w:rFonts w:ascii="Arial" w:eastAsia="Times New Roman" w:hAnsi="Arial" w:cs="Arial"/>
          <w:b/>
          <w:bCs/>
          <w:color w:val="505A5F"/>
          <w:kern w:val="0"/>
          <w:sz w:val="22"/>
          <w:szCs w:val="22"/>
          <w:shd w:val="clear" w:color="auto" w:fill="FFFFFF"/>
          <w:lang w:eastAsia="en-GB"/>
          <w14:ligatures w14:val="none"/>
        </w:rPr>
        <w:t>49724/APP/2025/3002</w:t>
      </w:r>
    </w:p>
    <w:p w14:paraId="18933DEE" w14:textId="77777777" w:rsidR="00861358" w:rsidRPr="00861358" w:rsidRDefault="00861358" w:rsidP="00861358">
      <w:pPr>
        <w:rPr>
          <w:rFonts w:ascii="Arial" w:eastAsia="Times New Roman" w:hAnsi="Arial" w:cs="Arial"/>
          <w:b/>
          <w:bCs/>
          <w:color w:val="505A5F"/>
          <w:kern w:val="0"/>
          <w:sz w:val="22"/>
          <w:szCs w:val="22"/>
          <w:shd w:val="clear" w:color="auto" w:fill="FFFFFF"/>
          <w:lang w:eastAsia="en-GB"/>
          <w14:ligatures w14:val="none"/>
        </w:rPr>
      </w:pPr>
      <w:r w:rsidRPr="00861358">
        <w:rPr>
          <w:rFonts w:ascii="Arial" w:eastAsia="Times New Roman" w:hAnsi="Arial" w:cs="Arial"/>
          <w:b/>
          <w:bCs/>
          <w:color w:val="505A5F"/>
          <w:kern w:val="0"/>
          <w:sz w:val="22"/>
          <w:szCs w:val="22"/>
          <w:shd w:val="clear" w:color="auto" w:fill="FFFFFF"/>
          <w:lang w:eastAsia="en-GB"/>
          <w14:ligatures w14:val="none"/>
        </w:rPr>
        <w:pict w14:anchorId="01A929D1">
          <v:rect id="_x0000_i1036" style="width:0;height:1.5pt" o:hralign="center" o:hrstd="t" o:hr="t" fillcolor="#a0a0a0" stroked="f"/>
        </w:pict>
      </w:r>
    </w:p>
    <w:p w14:paraId="63BB96F8" w14:textId="77777777" w:rsidR="00861358" w:rsidRPr="00861358" w:rsidRDefault="00861358" w:rsidP="00861358">
      <w:pPr>
        <w:rPr>
          <w:rFonts w:ascii="Arial" w:eastAsia="Times New Roman" w:hAnsi="Arial" w:cs="Arial"/>
          <w:b/>
          <w:bCs/>
          <w:color w:val="505A5F"/>
          <w:kern w:val="0"/>
          <w:sz w:val="22"/>
          <w:szCs w:val="22"/>
          <w:shd w:val="clear" w:color="auto" w:fill="FFFFFF"/>
          <w:lang w:eastAsia="en-GB"/>
          <w14:ligatures w14:val="none"/>
        </w:rPr>
      </w:pPr>
      <w:r w:rsidRPr="00861358">
        <w:rPr>
          <w:rFonts w:ascii="Arial" w:eastAsia="Times New Roman" w:hAnsi="Arial" w:cs="Arial"/>
          <w:b/>
          <w:bCs/>
          <w:color w:val="505A5F"/>
          <w:kern w:val="0"/>
          <w:sz w:val="22"/>
          <w:szCs w:val="22"/>
          <w:shd w:val="clear" w:color="auto" w:fill="FFFFFF"/>
          <w:lang w:eastAsia="en-GB"/>
          <w14:ligatures w14:val="none"/>
        </w:rPr>
        <w:t>Statement</w:t>
      </w:r>
    </w:p>
    <w:p w14:paraId="2E9B9B2F" w14:textId="1DB9D590" w:rsidR="00861358" w:rsidRPr="00313361" w:rsidRDefault="00861358" w:rsidP="00861358">
      <w:pPr>
        <w:rPr>
          <w:rFonts w:ascii="Arial" w:eastAsia="Times New Roman" w:hAnsi="Arial" w:cs="Arial"/>
          <w:color w:val="505A5F"/>
          <w:kern w:val="0"/>
          <w:sz w:val="22"/>
          <w:szCs w:val="22"/>
          <w:shd w:val="clear" w:color="auto" w:fill="FFFFFF"/>
          <w:lang w:eastAsia="en-GB"/>
          <w14:ligatures w14:val="none"/>
        </w:rPr>
      </w:pPr>
      <w:r w:rsidRPr="00861358">
        <w:rPr>
          <w:rFonts w:ascii="Arial" w:eastAsia="Times New Roman" w:hAnsi="Arial" w:cs="Arial"/>
          <w:b/>
          <w:bCs/>
          <w:color w:val="505A5F"/>
          <w:kern w:val="0"/>
          <w:sz w:val="22"/>
          <w:szCs w:val="22"/>
          <w:shd w:val="clear" w:color="auto" w:fill="FFFFFF"/>
          <w:lang w:eastAsia="en-GB"/>
          <w14:ligatures w14:val="none"/>
        </w:rPr>
        <w:t>1. Introduction</w:t>
      </w:r>
      <w:r w:rsidRPr="00861358">
        <w:rPr>
          <w:rFonts w:ascii="Arial" w:eastAsia="Times New Roman" w:hAnsi="Arial" w:cs="Arial"/>
          <w:b/>
          <w:bCs/>
          <w:color w:val="505A5F"/>
          <w:kern w:val="0"/>
          <w:sz w:val="22"/>
          <w:szCs w:val="22"/>
          <w:shd w:val="clear" w:color="auto" w:fill="FFFFFF"/>
          <w:lang w:eastAsia="en-GB"/>
          <w14:ligatures w14:val="none"/>
        </w:rPr>
        <w:br/>
      </w:r>
      <w:r w:rsidRPr="00861358">
        <w:rPr>
          <w:rFonts w:ascii="Arial" w:eastAsia="Times New Roman" w:hAnsi="Arial" w:cs="Arial"/>
          <w:b/>
          <w:bCs/>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t>1.1 This appeal statement is submitted by the London Borough of Hillingdon, as the Local Planning Authority (LPA), in respect of a Change of use of a dwellinghouse (Use Class C3) to a House in Multiple Occupation (HMO) for 5 occupants (Use Class C4).</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1.2 The LPA refused planning permission on 17th March 2026 for the following reason (as stated on the decision notice):</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(1) The proposal and the high number of potential occupants would result in noise and general disturbance to neighbouring properties alongside a harmful over-intensification of the use of the site (through additional comings and goings generated by the additional occupants), detrimental to both the occupiers and neighbouring properties and the residential amenity of the area. The proposal is, therefore, contrary to Policies DMH 5 and DMHB 11 of the Hillingdon Local Plan: Part Two - Development Management Policies (2020), Policies D3 and D13 of the London Plan (2021) and Paragraph 135 (f) of the National Planning Policy Framework (2024).</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1.3 The LPA’s case is set out in the Planning Officer’s delegated report, which should be read in conjunction with this statement. A copy of the delegated report is provided at Appendix 1. Copies of relevant planning policies are included at Appendix 2.</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1.4 This statement will not repeat the delegated report and will focus on addressing matters raised in the Appellant’s statement of case.</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1.5 The main points raised within the appellant's statement of case are as follows:</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lastRenderedPageBreak/>
        <w:br/>
        <w:t>(1) There is insufficient evidence that the change of use would result in increased noise, disturbance and harm to neighbouring residential amenity.</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(2) Reliance is place on an appeal decision at 47 Hannover Circle (APP/R5510/W/25/3372543) that is not directly applicable to development on the application site.</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(3) There is a planning policy context for supporting HMO uses.</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Each of the above points are addressed within Section 2 of this SOC.</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r>
      <w:r w:rsidRPr="00B537E8">
        <w:rPr>
          <w:rFonts w:ascii="Arial" w:eastAsia="Times New Roman" w:hAnsi="Arial" w:cs="Arial"/>
          <w:b/>
          <w:bCs/>
          <w:color w:val="505A5F"/>
          <w:kern w:val="0"/>
          <w:sz w:val="22"/>
          <w:szCs w:val="22"/>
          <w:shd w:val="clear" w:color="auto" w:fill="FFFFFF"/>
          <w:lang w:eastAsia="en-GB"/>
          <w14:ligatures w14:val="none"/>
        </w:rPr>
        <w:br/>
        <w:t>2. LPA Comments on Appellant’s Statement of Case</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2.1 The appellant sets out within their SOC that the Councils reason for refusal on the grounds that the introduction of up to five unrelated occupants would inevitably result in increased noise, disturbance and harm to neighbouring residential amenity is not supported by evidence. The SOC sets out that some variation in daily routines, comings and goings, and household activity is a normal and expected characteristic of both HMOs and larger family dwellings does not constitute planning harm. The SOC contends that the council’s assessment is based on a generalised assumption that increased occupation equates to harm, rather than evidence of actual adverse impact.</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2.2 Contrary to the appellants assertion, there is a strong evidence base to suggest that HMO’s present specific amenity issues compared with regular dwellings. A report presented to a full Council meeting held on 27th November 2025 (see Appendix 3 of this SOC) relating to the adoption of an Article 4 Direction preventing the change of use of Class C3 dwellings to use as Class C4 multiple occupation housing states that:</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Evidence indicates a notable association between HMOs and anti-social behaviour (ASB), with 151 ASB incidents per 100 HMO dwellings, compared to 24.9 incidents per general private rented sector dwelling. ASB reports are widespread across the borough but are more common in southern and southeastern wards such as Belmore, Yeading, Wood End, and West Drayton. The most common property-related ASB is flying tipping (34%), followed by various noise issues, which account for 15% of incidents. These patterns suggest that while ASB occurs throughout the area, higher concentrations of HMOs may exacerbate existing pressures on local environments and services, especially in neighbourhoods with higher densities of shared housing.</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2.3 Appendix 2 of the report to full Council submitted as evidence for adoption of the Article 4 direction (see Appendix 4) states that:</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 xml:space="preserve">The evidence shows that there is a connection between HMOs and poor waste management. Over a five-year period, 3,396 ASB incidents (noise and waste) have been linked to HMOs in Hillingdon. Repeat incidences of ASB (two or more ASB investigations </w:t>
      </w:r>
      <w:r w:rsidRPr="00313361">
        <w:rPr>
          <w:rFonts w:ascii="Arial" w:eastAsia="Times New Roman" w:hAnsi="Arial" w:cs="Arial"/>
          <w:color w:val="505A5F"/>
          <w:kern w:val="0"/>
          <w:sz w:val="22"/>
          <w:szCs w:val="22"/>
          <w:shd w:val="clear" w:color="auto" w:fill="FFFFFF"/>
          <w:lang w:eastAsia="en-GB"/>
          <w14:ligatures w14:val="none"/>
        </w:rPr>
        <w:lastRenderedPageBreak/>
        <w:t>linked to one dwelling) in HMOs indicate that some landlords are failing to take appropriate action to address issues of ASB when it first occurs and is a direct indicator of poor management.</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 xml:space="preserve">Repeat incidences of ASB (two or more ASB investigations linked to one dwelling) in HMOs indicate that some landlords are failing to take appropriate action to address issues of ASB when it first occurs and is a direct indicator of poor management. Repeat ASB in HMOs is evident within </w:t>
      </w:r>
      <w:proofErr w:type="gramStart"/>
      <w:r w:rsidRPr="00313361">
        <w:rPr>
          <w:rFonts w:ascii="Arial" w:eastAsia="Times New Roman" w:hAnsi="Arial" w:cs="Arial"/>
          <w:color w:val="505A5F"/>
          <w:kern w:val="0"/>
          <w:sz w:val="22"/>
          <w:szCs w:val="22"/>
          <w:shd w:val="clear" w:color="auto" w:fill="FFFFFF"/>
          <w:lang w:eastAsia="en-GB"/>
          <w14:ligatures w14:val="none"/>
        </w:rPr>
        <w:t>the majority of</w:t>
      </w:r>
      <w:proofErr w:type="gramEnd"/>
      <w:r w:rsidRPr="00313361">
        <w:rPr>
          <w:rFonts w:ascii="Arial" w:eastAsia="Times New Roman" w:hAnsi="Arial" w:cs="Arial"/>
          <w:color w:val="505A5F"/>
          <w:kern w:val="0"/>
          <w:sz w:val="22"/>
          <w:szCs w:val="22"/>
          <w:shd w:val="clear" w:color="auto" w:fill="FFFFFF"/>
          <w:lang w:eastAsia="en-GB"/>
          <w14:ligatures w14:val="none"/>
        </w:rPr>
        <w:t xml:space="preserve"> wards in Hillingdon.</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Total ASB incidents linked to HMOs (known and hidden/predicted) by ward, April 2020 – March 2025.</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The evidence demonstrates a link between HMOs and poor housing conditions, poor management and ASB. As the PRS continues to grow, with an increasing use of multi-occupied properties, more residents are negatively impacted by these conditions. Poorly managed HMOs not only place extra demands on the Council, but they also create problems for their tenants and the surrounding community</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2.4 The above evidence sets out a clear link between HMO’s and increased incidences of anti-social behaviour and noise disturbance within the borough. It can logically be concluded that the presence of five unrelated adults living in a property would be likely to have a greater impact than a single family. Unrelated adults are likely to each be employed and live more separate lives compared to members of a single family, resulting in increased comings and goings at different hours, higher number and frequency of visitors and a likelihood that several, or possibly all occupants may have access to private vehicles. The scope of impact from this pattern of activity is distinctly different from occupation of a property by family members. The application site lies within a fully residential area of Uxbridge where each of the houses are in close proximity to each other and an intensification of the residential use of the property would impact significantly on the amenity of the properties adjoining the site.</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2.5 As cited by the appellant, the officer report referenced a recent appeal decision at 47 Hanover Circle in Hayes where planning permission was similarly refused due to the impact of the development on the amenity of surrounding residential dwellings. The appellant within their SOC seeks to argue that the Council places undue reliance on the appeal decision at 47 Hanover Circle (APP/R5510/W/25/3372543) which is referenced above and related to internal alterations to convert a single dwelling (Class C3) to a 5-bedroom, 8 person HMO (Sui Generis use). Reliance was not placed on this appeal decision in isolation, however for the reasons cited in the officer’s report, the issues cited by the inspector in dismissing the appeal are pertinent to the appeal at 21 Green Lane. Namely within the appeal decision (see Appendix 2), the inspector comments that:</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 xml:space="preserve">"The proposal could be occupied by up to five households. Each is likely to have individual and different schedules for arrivals, visitors, and deliveries. This would have a very different, far more intensive character than a family home, significantly increasing potential for disturbance of neighbouring occupiers and heavily at odds with the established character of this residential area. The corner location and proximity of other HMOs mean that additional infrastructure and activity would be prominent and cumulative effects on neighbours would </w:t>
      </w:r>
      <w:r w:rsidRPr="00313361">
        <w:rPr>
          <w:rFonts w:ascii="Arial" w:eastAsia="Times New Roman" w:hAnsi="Arial" w:cs="Arial"/>
          <w:color w:val="505A5F"/>
          <w:kern w:val="0"/>
          <w:sz w:val="22"/>
          <w:szCs w:val="22"/>
          <w:shd w:val="clear" w:color="auto" w:fill="FFFFFF"/>
          <w:lang w:eastAsia="en-GB"/>
          <w14:ligatures w14:val="none"/>
        </w:rPr>
        <w:lastRenderedPageBreak/>
        <w:t>harm the character and appearance of the area, contrary to Part A of Policy DMH 5 of the Hillingdon Local Plan: Part Two - Development Management Policies (2020) (HLP2). As subdivision is not proposed and I have no concentration threshold evidence, I find no conflict with HLP2 Policy DMH 1 or Policy DMH 5 Part B.</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As I have found, the proposal would likely be occupied by up to five households with different schedules, increasing activity and disturbance compared to a single-family home. Both semi-detached houses to the right as seen from the street are in use as small HMOs and nearby residents report problems with parking, noise and disturbance related to more intensive residential uses within the area.</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These effects would also impact the future residents of the HMO and, whilst the management plan would assist in reducing or dealing with some these impacts, I am not convinced that it would result in adequate living conditions for neighbours or occupiers. Consequently, the proposal would be contrary to HLP2 Policies DMH 5 and DMHB 11, LP Policies D3 and D13"</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The appellant disputes the relevance of the appeal decision, by citing the following differences between the above referenced appeal and the appeal under consideration:</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 presence of multiple existing HMOs in close proximity</w:t>
      </w:r>
      <w:r w:rsidRPr="00313361">
        <w:rPr>
          <w:rFonts w:ascii="Arial" w:eastAsia="Times New Roman" w:hAnsi="Arial" w:cs="Arial"/>
          <w:color w:val="505A5F"/>
          <w:kern w:val="0"/>
          <w:sz w:val="22"/>
          <w:szCs w:val="22"/>
          <w:shd w:val="clear" w:color="auto" w:fill="FFFFFF"/>
          <w:lang w:eastAsia="en-GB"/>
          <w14:ligatures w14:val="none"/>
        </w:rPr>
        <w:br/>
        <w:t>• evidence of cumulative impacts</w:t>
      </w:r>
      <w:r w:rsidRPr="00313361">
        <w:rPr>
          <w:rFonts w:ascii="Arial" w:eastAsia="Times New Roman" w:hAnsi="Arial" w:cs="Arial"/>
          <w:color w:val="505A5F"/>
          <w:kern w:val="0"/>
          <w:sz w:val="22"/>
          <w:szCs w:val="22"/>
          <w:shd w:val="clear" w:color="auto" w:fill="FFFFFF"/>
          <w:lang w:eastAsia="en-GB"/>
          <w14:ligatures w14:val="none"/>
        </w:rPr>
        <w:br/>
        <w:t>• recorded complaints from local residents</w:t>
      </w:r>
      <w:r w:rsidRPr="00313361">
        <w:rPr>
          <w:rFonts w:ascii="Arial" w:eastAsia="Times New Roman" w:hAnsi="Arial" w:cs="Arial"/>
          <w:color w:val="505A5F"/>
          <w:kern w:val="0"/>
          <w:sz w:val="22"/>
          <w:szCs w:val="22"/>
          <w:shd w:val="clear" w:color="auto" w:fill="FFFFFF"/>
          <w:lang w:eastAsia="en-GB"/>
          <w14:ligatures w14:val="none"/>
        </w:rPr>
        <w:br/>
        <w:t>• a corner plot with greater exposure to activity</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In contrast, for 21 Green Lane:</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 the Council confirms there is no overconcentration of HMOs</w:t>
      </w:r>
      <w:r w:rsidRPr="00313361">
        <w:rPr>
          <w:rFonts w:ascii="Arial" w:eastAsia="Times New Roman" w:hAnsi="Arial" w:cs="Arial"/>
          <w:color w:val="505A5F"/>
          <w:kern w:val="0"/>
          <w:sz w:val="22"/>
          <w:szCs w:val="22"/>
          <w:shd w:val="clear" w:color="auto" w:fill="FFFFFF"/>
          <w:lang w:eastAsia="en-GB"/>
          <w14:ligatures w14:val="none"/>
        </w:rPr>
        <w:br/>
        <w:t>• there is no evidence of cumulative impacts</w:t>
      </w:r>
      <w:r w:rsidRPr="00313361">
        <w:rPr>
          <w:rFonts w:ascii="Arial" w:eastAsia="Times New Roman" w:hAnsi="Arial" w:cs="Arial"/>
          <w:color w:val="505A5F"/>
          <w:kern w:val="0"/>
          <w:sz w:val="22"/>
          <w:szCs w:val="22"/>
          <w:shd w:val="clear" w:color="auto" w:fill="FFFFFF"/>
          <w:lang w:eastAsia="en-GB"/>
          <w14:ligatures w14:val="none"/>
        </w:rPr>
        <w:br/>
        <w:t>• no neighbour objections have been recorded in relation to this proposal</w:t>
      </w:r>
      <w:r w:rsidRPr="00313361">
        <w:rPr>
          <w:rFonts w:ascii="Arial" w:eastAsia="Times New Roman" w:hAnsi="Arial" w:cs="Arial"/>
          <w:color w:val="505A5F"/>
          <w:kern w:val="0"/>
          <w:sz w:val="22"/>
          <w:szCs w:val="22"/>
          <w:shd w:val="clear" w:color="auto" w:fill="FFFFFF"/>
          <w:lang w:eastAsia="en-GB"/>
          <w14:ligatures w14:val="none"/>
        </w:rPr>
        <w:br/>
        <w:t>• the site is a typical residential plot without exceptional sensitivity</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Whilst there are no records to suggest that there is an overconcentration of HMO’s in the area, the council have highlighted in the preceding sections of this report the key amenity implications of permitting the proposed use and consider that there are demonstrable negative amenity implications associated with the proposed use. The statement that no neighbour objections have been received in relation to the proposal is incorrect, as stated within the officer report, (see Appendix 1) 7 letters of objection have been received which include concerns raised in relation to noise and disturbance resulting from intensification of the residential use. The appellant contends that there is no exceptional sensitivity as the site is a typical residential plot. To the contrary, the site adjoins five other residential dwellings and there are two further properties opposite the site. Green Lane is a relatively quiet residential street consisting of individual detached homes and an intensified residential use of an originally small, but now significantly extended dwelling would represent a significant change in terms of the level of activity, noise and general disturbance which surrounding neighbours would experience.</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lastRenderedPageBreak/>
        <w:t>2.6 A recent appeal decision (APP/R5510/W/25/3360554) at 5 Crossway, Hayes also raises similar issues. The appeal inspector comments that:</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“The use of the building at number 5 Crossway as a House in Multiple Occupation would be very likely to amount to a more intensive use than use as a family dwellinghouse (or a dwelling occupied by not more than six residents living together as a single household), because of the potential numbers involved and the different movement patterns of people living independent lives. This more intensive use would be likely to generate greater levels of disturbance for neighbours and I am persuaded that the change for which planning permission is sought would amount to an over-intensification of development on the site that would also harm the character of the area.”</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“The proposed HMO would amount to an over-intensification of use of the site, causing undue disturbance to neighbours and eroding the character of the surrounding area. This would be exacerbated by the lack of adequate parking provision.”</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The above appeal further references the potential impact of HMOs on the residential amenity of existing residents.</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2.7 The appellant notes that Policy DMH5 of the Hillingdon Local Plan Part 2 (2020) confirms that HMOs are an acceptable form of residential development subject to criteria relating to amenity and character this being subject to no harm arising. The policy however requires that there will be no adverse impact on the amenity of neighbouring properties or the character of the area. For the reasons identified above, officers consider that the development would conflict with this specific part of Policy DMH5 of the Hillingdon Local Plan: Part Two - Development Management Policies (2020) in addition to also conflicting with DMHB 11 of the Hillingdon Local Plan: Part Two - Development Management Policies (2020), Policies D3 and D13 of the London Plan (2021) and Paragraph 135 (f) of the National Planning Policy Framework (2024).</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Other Matters</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2.8 Within the appellant's SOC the following matters are referred to as reason why the appeal should be allowed.</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 The development would not undermine the character of the surrounding area.</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 Adequate parking would be retained to serve the dwelling and there would not be a negative impact on highway safety or amenity.</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 Adequate external amenity space would be provided to serve the needs of future occupiers</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 There would not be an overconcentration of HMOs in the area, and the proposal does not conflict with the spatial objectives of Policy DMH5 in relation to HMO distribution.</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 xml:space="preserve">2.9 Officers note that none of the above matters formed a basis for officers’ decision to refuse planning permission for the proposed change of use. This is confirmed within the </w:t>
      </w:r>
      <w:r w:rsidRPr="00313361">
        <w:rPr>
          <w:rFonts w:ascii="Arial" w:eastAsia="Times New Roman" w:hAnsi="Arial" w:cs="Arial"/>
          <w:color w:val="505A5F"/>
          <w:kern w:val="0"/>
          <w:sz w:val="22"/>
          <w:szCs w:val="22"/>
          <w:shd w:val="clear" w:color="auto" w:fill="FFFFFF"/>
          <w:lang w:eastAsia="en-GB"/>
          <w14:ligatures w14:val="none"/>
        </w:rPr>
        <w:lastRenderedPageBreak/>
        <w:t>relevant parts of the case officers report included at Appendix 1 of the SOC.</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r>
      <w:r w:rsidRPr="00B537E8">
        <w:rPr>
          <w:rFonts w:ascii="Arial" w:eastAsia="Times New Roman" w:hAnsi="Arial" w:cs="Arial"/>
          <w:b/>
          <w:bCs/>
          <w:color w:val="505A5F"/>
          <w:kern w:val="0"/>
          <w:sz w:val="22"/>
          <w:szCs w:val="22"/>
          <w:shd w:val="clear" w:color="auto" w:fill="FFFFFF"/>
          <w:lang w:eastAsia="en-GB"/>
          <w14:ligatures w14:val="none"/>
        </w:rPr>
        <w:t>3. Conclusion</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3.1 The appellant’s statement of case does not put forward substantial justification or evidence to counter the Councils view that the development would be harmful based on the reason for refusal as set out on the decision notice.</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3.2 It is for these reasons and those set out in more detail within this statement of case, that the planning authority respectfully requests this appeal be dismissed.</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r>
      <w:r w:rsidRPr="00B537E8">
        <w:rPr>
          <w:rFonts w:ascii="Arial" w:eastAsia="Times New Roman" w:hAnsi="Arial" w:cs="Arial"/>
          <w:b/>
          <w:bCs/>
          <w:color w:val="505A5F"/>
          <w:kern w:val="0"/>
          <w:sz w:val="22"/>
          <w:szCs w:val="22"/>
          <w:shd w:val="clear" w:color="auto" w:fill="FFFFFF"/>
          <w:lang w:eastAsia="en-GB"/>
          <w14:ligatures w14:val="none"/>
        </w:rPr>
        <w:t>Appendices</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Appendix 1 – Planning Officer’s Delegated Report</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Appendix 2 – Planning Appeal Decision - 47 Hanover Circle (APP/R5510/W/25/3372543)</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Appendix 3 – Report to Full Council Meeting held on 27th November 2025 relating to Article 4 Direction Adoption.</w:t>
      </w:r>
      <w:r w:rsidRPr="00313361">
        <w:rPr>
          <w:rFonts w:ascii="Arial" w:eastAsia="Times New Roman" w:hAnsi="Arial" w:cs="Arial"/>
          <w:color w:val="505A5F"/>
          <w:kern w:val="0"/>
          <w:sz w:val="22"/>
          <w:szCs w:val="22"/>
          <w:shd w:val="clear" w:color="auto" w:fill="FFFFFF"/>
          <w:lang w:eastAsia="en-GB"/>
          <w14:ligatures w14:val="none"/>
        </w:rPr>
        <w:br/>
      </w:r>
      <w:r w:rsidRPr="00313361">
        <w:rPr>
          <w:rFonts w:ascii="Arial" w:eastAsia="Times New Roman" w:hAnsi="Arial" w:cs="Arial"/>
          <w:color w:val="505A5F"/>
          <w:kern w:val="0"/>
          <w:sz w:val="22"/>
          <w:szCs w:val="22"/>
          <w:shd w:val="clear" w:color="auto" w:fill="FFFFFF"/>
          <w:lang w:eastAsia="en-GB"/>
          <w14:ligatures w14:val="none"/>
        </w:rPr>
        <w:br/>
        <w:t>Appendix 4 – Appendix 2 of Report to Full Council Meeting held on 27th November 2025 relating to Article 4 Direction Adoption.</w:t>
      </w:r>
    </w:p>
    <w:p w14:paraId="43EFD12B" w14:textId="57A4EA1F" w:rsidR="00D249CB" w:rsidRPr="00313361" w:rsidRDefault="00D249CB" w:rsidP="00861358"/>
    <w:sectPr w:rsidR="00D249CB" w:rsidRPr="003133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444"/>
    <w:rsid w:val="00011991"/>
    <w:rsid w:val="0006104F"/>
    <w:rsid w:val="000808C3"/>
    <w:rsid w:val="00080CB8"/>
    <w:rsid w:val="00091FB3"/>
    <w:rsid w:val="00133337"/>
    <w:rsid w:val="00313361"/>
    <w:rsid w:val="00356319"/>
    <w:rsid w:val="00372444"/>
    <w:rsid w:val="003B1BC5"/>
    <w:rsid w:val="005F5260"/>
    <w:rsid w:val="00633073"/>
    <w:rsid w:val="006D184F"/>
    <w:rsid w:val="00861358"/>
    <w:rsid w:val="00982D54"/>
    <w:rsid w:val="009A229A"/>
    <w:rsid w:val="00A25974"/>
    <w:rsid w:val="00B537E8"/>
    <w:rsid w:val="00C042B7"/>
    <w:rsid w:val="00D03B3F"/>
    <w:rsid w:val="00D05750"/>
    <w:rsid w:val="00D249CB"/>
    <w:rsid w:val="00D403BB"/>
    <w:rsid w:val="00F72438"/>
    <w:rsid w:val="00FE12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63D7B"/>
  <w15:chartTrackingRefBased/>
  <w15:docId w15:val="{7D8F14BF-1FC4-4663-BE8D-F8DACC205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24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24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24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24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24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24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24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24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24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4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24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24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24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24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24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24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24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2444"/>
    <w:rPr>
      <w:rFonts w:eastAsiaTheme="majorEastAsia" w:cstheme="majorBidi"/>
      <w:color w:val="272727" w:themeColor="text1" w:themeTint="D8"/>
    </w:rPr>
  </w:style>
  <w:style w:type="paragraph" w:styleId="Title">
    <w:name w:val="Title"/>
    <w:basedOn w:val="Normal"/>
    <w:next w:val="Normal"/>
    <w:link w:val="TitleChar"/>
    <w:uiPriority w:val="10"/>
    <w:qFormat/>
    <w:rsid w:val="00372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24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24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24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2444"/>
    <w:pPr>
      <w:spacing w:before="160"/>
      <w:jc w:val="center"/>
    </w:pPr>
    <w:rPr>
      <w:i/>
      <w:iCs/>
      <w:color w:val="404040" w:themeColor="text1" w:themeTint="BF"/>
    </w:rPr>
  </w:style>
  <w:style w:type="character" w:customStyle="1" w:styleId="QuoteChar">
    <w:name w:val="Quote Char"/>
    <w:basedOn w:val="DefaultParagraphFont"/>
    <w:link w:val="Quote"/>
    <w:uiPriority w:val="29"/>
    <w:rsid w:val="00372444"/>
    <w:rPr>
      <w:i/>
      <w:iCs/>
      <w:color w:val="404040" w:themeColor="text1" w:themeTint="BF"/>
    </w:rPr>
  </w:style>
  <w:style w:type="paragraph" w:styleId="ListParagraph">
    <w:name w:val="List Paragraph"/>
    <w:basedOn w:val="Normal"/>
    <w:uiPriority w:val="34"/>
    <w:qFormat/>
    <w:rsid w:val="00372444"/>
    <w:pPr>
      <w:ind w:left="720"/>
      <w:contextualSpacing/>
    </w:pPr>
  </w:style>
  <w:style w:type="character" w:styleId="IntenseEmphasis">
    <w:name w:val="Intense Emphasis"/>
    <w:basedOn w:val="DefaultParagraphFont"/>
    <w:uiPriority w:val="21"/>
    <w:qFormat/>
    <w:rsid w:val="00372444"/>
    <w:rPr>
      <w:i/>
      <w:iCs/>
      <w:color w:val="0F4761" w:themeColor="accent1" w:themeShade="BF"/>
    </w:rPr>
  </w:style>
  <w:style w:type="paragraph" w:styleId="IntenseQuote">
    <w:name w:val="Intense Quote"/>
    <w:basedOn w:val="Normal"/>
    <w:next w:val="Normal"/>
    <w:link w:val="IntenseQuoteChar"/>
    <w:uiPriority w:val="30"/>
    <w:qFormat/>
    <w:rsid w:val="003724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2444"/>
    <w:rPr>
      <w:i/>
      <w:iCs/>
      <w:color w:val="0F4761" w:themeColor="accent1" w:themeShade="BF"/>
    </w:rPr>
  </w:style>
  <w:style w:type="character" w:styleId="IntenseReference">
    <w:name w:val="Intense Reference"/>
    <w:basedOn w:val="DefaultParagraphFont"/>
    <w:uiPriority w:val="32"/>
    <w:qFormat/>
    <w:rsid w:val="00372444"/>
    <w:rPr>
      <w:b/>
      <w:bCs/>
      <w:smallCaps/>
      <w:color w:val="0F4761" w:themeColor="accent1" w:themeShade="BF"/>
      <w:spacing w:val="5"/>
    </w:rPr>
  </w:style>
  <w:style w:type="character" w:styleId="Hyperlink">
    <w:name w:val="Hyperlink"/>
    <w:basedOn w:val="DefaultParagraphFont"/>
    <w:uiPriority w:val="99"/>
    <w:unhideWhenUsed/>
    <w:rsid w:val="006D184F"/>
    <w:rPr>
      <w:color w:val="467886" w:themeColor="hyperlink"/>
      <w:u w:val="single"/>
    </w:rPr>
  </w:style>
  <w:style w:type="character" w:styleId="UnresolvedMention">
    <w:name w:val="Unresolved Mention"/>
    <w:basedOn w:val="DefaultParagraphFont"/>
    <w:uiPriority w:val="99"/>
    <w:semiHidden/>
    <w:unhideWhenUsed/>
    <w:rsid w:val="006D18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2165</Words>
  <Characters>12343</Characters>
  <Application>Microsoft Office Word</Application>
  <DocSecurity>0</DocSecurity>
  <Lines>102</Lines>
  <Paragraphs>28</Paragraphs>
  <ScaleCrop>false</ScaleCrop>
  <Company>LBH</Company>
  <LinksUpToDate>false</LinksUpToDate>
  <CharactersWithSpaces>14480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Allum</dc:creator>
  <cp:keywords/>
  <dc:description/>
  <cp:lastModifiedBy>John Allum</cp:lastModifiedBy>
  <cp:revision>16</cp:revision>
  <dcterms:created xsi:type="dcterms:W3CDTF">2026-01-22T17:29:00Z</dcterms:created>
  <dcterms:modified xsi:type="dcterms:W3CDTF">2026-06-08T16:11:00Z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2026-01-22T17:30:50Z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75260bfc-3816-4eca-8197-587309a5a57c</vt:lpwstr>
  </property>
  <property fmtid="{D5CDD505-2E9C-101B-9397-08002B2CF9AE}" pid="8" name="MSIP_Label_7a8edf35-91ea-44e1-afab-38c462b39a0c_ContentBits">
    <vt:lpwstr>0</vt:lpwstr>
  </property>
  <property fmtid="{D5CDD505-2E9C-101B-9397-08002B2CF9AE}" pid="9" name="MSIP_Label_7a8edf35-91ea-44e1-afab-38c462b39a0c_Tag">
    <vt:lpwstr>10, 3, 0, 1</vt:lpwstr>
  </property>
</Properties>
</file>