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AAF0A4"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Appeal 6007587</w:t>
      </w:r>
    </w:p>
    <w:p w14:paraId="5FDE9C84"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Your statement</w:t>
      </w:r>
    </w:p>
    <w:p w14:paraId="7A276517"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Appeal type</w:t>
      </w:r>
    </w:p>
    <w:p w14:paraId="545E2E32"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Planning</w:t>
      </w:r>
    </w:p>
    <w:p w14:paraId="3C1F2455"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Appeal procedure</w:t>
      </w:r>
    </w:p>
    <w:p w14:paraId="11C1A780"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Written</w:t>
      </w:r>
    </w:p>
    <w:p w14:paraId="4D438C13"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Appeal site</w:t>
      </w:r>
    </w:p>
    <w:p w14:paraId="3361A60C"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79 Fairholme Crescent, Hayes, Middlesex, UB4 8QU</w:t>
      </w:r>
    </w:p>
    <w:p w14:paraId="442BD87A"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Agent contact details</w:t>
      </w:r>
    </w:p>
    <w:p w14:paraId="611C8A0C" w14:textId="4975BA94"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Courtney Dawson</w:t>
      </w:r>
    </w:p>
    <w:p w14:paraId="1EE8E460"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Local planning authority</w:t>
      </w:r>
    </w:p>
    <w:p w14:paraId="678DED92"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London Borough of Hillingdon</w:t>
      </w:r>
    </w:p>
    <w:p w14:paraId="4ADFEACE"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Application number</w:t>
      </w:r>
    </w:p>
    <w:p w14:paraId="0B3FC8D7"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53556/APP/2025/1948</w:t>
      </w:r>
    </w:p>
    <w:p w14:paraId="29089814"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pict w14:anchorId="7D0C15BD">
          <v:rect id="_x0000_i1036" style="width:0;height:1.5pt" o:hralign="center" o:hrstd="t" o:hr="t" fillcolor="#a0a0a0" stroked="f"/>
        </w:pict>
      </w:r>
    </w:p>
    <w:p w14:paraId="49BF050A" w14:textId="7777777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Statement</w:t>
      </w:r>
    </w:p>
    <w:p w14:paraId="40313F4D" w14:textId="7240A4A7" w:rsidR="00E249E1" w:rsidRPr="00E249E1" w:rsidRDefault="00E249E1" w:rsidP="00E249E1">
      <w:pPr>
        <w:rPr>
          <w:rFonts w:ascii="Arial" w:eastAsia="Times New Roman" w:hAnsi="Arial" w:cs="Arial"/>
          <w:b/>
          <w:bCs/>
          <w:color w:val="505A5F"/>
          <w:kern w:val="0"/>
          <w:sz w:val="22"/>
          <w:szCs w:val="22"/>
          <w:shd w:val="clear" w:color="auto" w:fill="FFFFFF"/>
          <w:lang w:eastAsia="en-GB"/>
          <w14:ligatures w14:val="none"/>
        </w:rPr>
      </w:pPr>
      <w:r w:rsidRPr="00E249E1">
        <w:rPr>
          <w:rFonts w:ascii="Arial" w:eastAsia="Times New Roman" w:hAnsi="Arial" w:cs="Arial"/>
          <w:b/>
          <w:bCs/>
          <w:color w:val="505A5F"/>
          <w:kern w:val="0"/>
          <w:sz w:val="22"/>
          <w:szCs w:val="22"/>
          <w:shd w:val="clear" w:color="auto" w:fill="FFFFFF"/>
          <w:lang w:eastAsia="en-GB"/>
          <w14:ligatures w14:val="none"/>
        </w:rPr>
        <w:t>Town and Country Planning Act 1990</w:t>
      </w:r>
      <w:r w:rsidRPr="00E249E1">
        <w:rPr>
          <w:rFonts w:ascii="Arial" w:eastAsia="Times New Roman" w:hAnsi="Arial" w:cs="Arial"/>
          <w:b/>
          <w:bCs/>
          <w:color w:val="505A5F"/>
          <w:kern w:val="0"/>
          <w:sz w:val="22"/>
          <w:szCs w:val="22"/>
          <w:shd w:val="clear" w:color="auto" w:fill="FFFFFF"/>
          <w:lang w:eastAsia="en-GB"/>
          <w14:ligatures w14:val="none"/>
        </w:rPr>
        <w:br/>
        <w:t>Section 78 Planning Appeal</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London Borough of Hillingdon Appeal Statement</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Appeal By: Mr Dylan Swift</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Proposal: Erection of a single storey extension to the side/rear and conversion to a self-contained studio for a wheelchair user.</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Appeal Site: 79 Fairholme Crescent, Hayes, Middlesex, UB4 8QU</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lastRenderedPageBreak/>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1. Introduction</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1.1 This appeal statement is submitted by the London Borough of Hillingdon, as the Local Planning Authority (LPA), in respect of the appeal against its refusal to grant permission for the Erection of a single storey extension to the side/rear and conversion to a self-contained studio for a wheelchair user.</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1.2 The LPA refused planning permission on 6th October 2025 for the following reasons (as stated on the decision notice):</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 xml:space="preserve">1. The proposed development by reason of its size, scale, bulk, proximity to the side boundary and subdivision of the plot, would give rise to a cramped incongruous form of development on the site which would represent an overdevelopment of the site to the detriment of the visual amenities of the street scene and the character and appearance of the surrounding area. </w:t>
      </w:r>
      <w:proofErr w:type="gramStart"/>
      <w:r w:rsidRPr="00E249E1">
        <w:rPr>
          <w:rFonts w:ascii="Arial" w:eastAsia="Times New Roman" w:hAnsi="Arial" w:cs="Arial"/>
          <w:b/>
          <w:bCs/>
          <w:color w:val="505A5F"/>
          <w:kern w:val="0"/>
          <w:sz w:val="22"/>
          <w:szCs w:val="22"/>
          <w:shd w:val="clear" w:color="auto" w:fill="FFFFFF"/>
          <w:lang w:eastAsia="en-GB"/>
          <w14:ligatures w14:val="none"/>
        </w:rPr>
        <w:t>Therefore</w:t>
      </w:r>
      <w:proofErr w:type="gramEnd"/>
      <w:r w:rsidRPr="00E249E1">
        <w:rPr>
          <w:rFonts w:ascii="Arial" w:eastAsia="Times New Roman" w:hAnsi="Arial" w:cs="Arial"/>
          <w:b/>
          <w:bCs/>
          <w:color w:val="505A5F"/>
          <w:kern w:val="0"/>
          <w:sz w:val="22"/>
          <w:szCs w:val="22"/>
          <w:shd w:val="clear" w:color="auto" w:fill="FFFFFF"/>
          <w:lang w:eastAsia="en-GB"/>
          <w14:ligatures w14:val="none"/>
        </w:rPr>
        <w:t xml:space="preserve"> the proposal would be contrary to Policy BE1 of the Hillingdon Local Plan: Part One - Strategic Policies (November 2012), Policies DMHB 11, DMHB 12 of the Hillingdon Local Plan: Part Two - Development Management Policies (2020) Policies D1 and D4 of the London Plan (2021) and the NPPF (2024).</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2. The applicant has failed to provide an acceptable quantity of car and cycle parking and has the potential to lead to undue on-street parking displacement to the detriment of parking capacity and safety on the local public highway, contrary to Paragraph 112 of the NPPF 2024; Policies T2, T4 and T5 of the London Plan 2021 and Policies DMT 1, DMT 2, DMT 5 and DMT 6 of the Hillingdon Local Plan Part 2 Development Management Policies.</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1.3 The LPA’s case is set out in the Planning Officer’s delegated report, which should be read in conjunction with this statement. A copy of the delegated report is provided at Appendix 1.</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1.4 This statement will not repeat the delegated report and will focus on addressing matters raised in the Appellant’s statement of case.</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lastRenderedPageBreak/>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t> </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2. LPA Comments on Appellant’s Statement of Case</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2.1 The appellant states that the Application 53556/APP/2022/1860, granted by the Council on 24th August 2022, permitted the erection of a two-storey extension to the side and rear of 79 Fairholme Crescent. A two-storey side extension is, by any measure, a significantly more substantial form of development than the single-storey extension now proposed.</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 xml:space="preserve">2.2 The Council maintains that planning permission was previously granted for a more sizeable extension to this property to the side. However, this extension would have appeared as an extension to the original dwelling rather than a separate dwellinghouse which is currently proposed. There are </w:t>
      </w:r>
      <w:proofErr w:type="gramStart"/>
      <w:r w:rsidRPr="00E249E1">
        <w:rPr>
          <w:rFonts w:ascii="Arial" w:eastAsia="Times New Roman" w:hAnsi="Arial" w:cs="Arial"/>
          <w:b/>
          <w:bCs/>
          <w:color w:val="505A5F"/>
          <w:kern w:val="0"/>
          <w:sz w:val="22"/>
          <w:szCs w:val="22"/>
          <w:shd w:val="clear" w:color="auto" w:fill="FFFFFF"/>
          <w:lang w:eastAsia="en-GB"/>
          <w14:ligatures w14:val="none"/>
        </w:rPr>
        <w:t>a number of</w:t>
      </w:r>
      <w:proofErr w:type="gramEnd"/>
      <w:r w:rsidRPr="00E249E1">
        <w:rPr>
          <w:rFonts w:ascii="Arial" w:eastAsia="Times New Roman" w:hAnsi="Arial" w:cs="Arial"/>
          <w:b/>
          <w:bCs/>
          <w:color w:val="505A5F"/>
          <w:kern w:val="0"/>
          <w:sz w:val="22"/>
          <w:szCs w:val="22"/>
          <w:shd w:val="clear" w:color="auto" w:fill="FFFFFF"/>
          <w:lang w:eastAsia="en-GB"/>
          <w14:ligatures w14:val="none"/>
        </w:rPr>
        <w:t xml:space="preserve"> single storey side extensions within the immediate vicinity which form part of the established character of the area (notably at adjacent number 77 and opposite at Number 110 Fairholme Crescent. The bulk and massing of the proposed single storey extension would not be at odds with development within the area. However the proposals are instead introducing a distinctly new dwelling, which attaches to the existing property, effectively forming a terrace of three properties, which is fundamentally at odds with the character of the area, which consists of semi-detached pairs of two-storey dwellings. The property would require its separate parking area, separate residential curtilage and associated domestic paraphernalia and this </w:t>
      </w:r>
      <w:proofErr w:type="gramStart"/>
      <w:r w:rsidRPr="00E249E1">
        <w:rPr>
          <w:rFonts w:ascii="Arial" w:eastAsia="Times New Roman" w:hAnsi="Arial" w:cs="Arial"/>
          <w:b/>
          <w:bCs/>
          <w:color w:val="505A5F"/>
          <w:kern w:val="0"/>
          <w:sz w:val="22"/>
          <w:szCs w:val="22"/>
          <w:shd w:val="clear" w:color="auto" w:fill="FFFFFF"/>
          <w:lang w:eastAsia="en-GB"/>
          <w14:ligatures w14:val="none"/>
        </w:rPr>
        <w:t>in itself would</w:t>
      </w:r>
      <w:proofErr w:type="gramEnd"/>
      <w:r w:rsidRPr="00E249E1">
        <w:rPr>
          <w:rFonts w:ascii="Arial" w:eastAsia="Times New Roman" w:hAnsi="Arial" w:cs="Arial"/>
          <w:b/>
          <w:bCs/>
          <w:color w:val="505A5F"/>
          <w:kern w:val="0"/>
          <w:sz w:val="22"/>
          <w:szCs w:val="22"/>
          <w:shd w:val="clear" w:color="auto" w:fill="FFFFFF"/>
          <w:lang w:eastAsia="en-GB"/>
          <w14:ligatures w14:val="none"/>
        </w:rPr>
        <w:t xml:space="preserve"> be out of keeping with the pattern and layout of development within the area and the established urban grain. The additional dwelling would read as an alien and incongruous form of development, which would result in harm to the character of the street scene and area as a whole.</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2.3 As such, the proposed development by reason of its size, scale, bulk, proximity to the side boundary and subdivision of the plot, would give rise to a cramped and incongruous form of development on the site which would represent an overdevelopment of the site to the detriment of the visual amenities of the street scene and the character and appearance of the surrounding area. Therefore the proposal would be contrary to Policy BE1 of the Hillingdon Local Plan: Part One - Strategic Policies (November 2012), Policies DMHB 11, DMHB 12 of the Hillingdon Local Plan: Part Two - Development Management Policies (2020) Policies D1 and D4 of the London Plan (2021) and the NPPF (2024).</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 xml:space="preserve">2.3 The appellant advises that the officer’s report identifies a total parking requirement of three spaces: two spaces for the host dwelling and one space for the studio. The existing driveway at the front of the property </w:t>
      </w:r>
      <w:proofErr w:type="gramStart"/>
      <w:r w:rsidRPr="00E249E1">
        <w:rPr>
          <w:rFonts w:ascii="Arial" w:eastAsia="Times New Roman" w:hAnsi="Arial" w:cs="Arial"/>
          <w:b/>
          <w:bCs/>
          <w:color w:val="505A5F"/>
          <w:kern w:val="0"/>
          <w:sz w:val="22"/>
          <w:szCs w:val="22"/>
          <w:shd w:val="clear" w:color="auto" w:fill="FFFFFF"/>
          <w:lang w:eastAsia="en-GB"/>
          <w14:ligatures w14:val="none"/>
        </w:rPr>
        <w:t>is capable of accommodating</w:t>
      </w:r>
      <w:proofErr w:type="gramEnd"/>
      <w:r w:rsidRPr="00E249E1">
        <w:rPr>
          <w:rFonts w:ascii="Arial" w:eastAsia="Times New Roman" w:hAnsi="Arial" w:cs="Arial"/>
          <w:b/>
          <w:bCs/>
          <w:color w:val="505A5F"/>
          <w:kern w:val="0"/>
          <w:sz w:val="22"/>
          <w:szCs w:val="22"/>
          <w:shd w:val="clear" w:color="auto" w:fill="FFFFFF"/>
          <w:lang w:eastAsia="en-GB"/>
          <w14:ligatures w14:val="none"/>
        </w:rPr>
        <w:t xml:space="preserve"> up to three vehicles. It is the Appellant’s position that the driveway, </w:t>
      </w:r>
      <w:r w:rsidRPr="00E249E1">
        <w:rPr>
          <w:rFonts w:ascii="Arial" w:eastAsia="Times New Roman" w:hAnsi="Arial" w:cs="Arial"/>
          <w:b/>
          <w:bCs/>
          <w:color w:val="505A5F"/>
          <w:kern w:val="0"/>
          <w:sz w:val="22"/>
          <w:szCs w:val="22"/>
          <w:shd w:val="clear" w:color="auto" w:fill="FFFFFF"/>
          <w:lang w:eastAsia="en-GB"/>
          <w14:ligatures w14:val="none"/>
        </w:rPr>
        <w:lastRenderedPageBreak/>
        <w:t>properly assessed, meets the Council’s own identified requirement in full, with one space formally allocated to the studio and two retained for the main dwelling. The appellant further states that The Appellant acknowledges the Highways Officer's concern regarding the positioning of a parking space in front of the studio entrance on the submitted plans, but this was merely to show a space can be accommodated on site. Beyond the driveway, there is a substantial supply of readily accessible parking in the immediate vicinity of the site. Fairholme Crescent is not subject to any parking restrictions, and unrestricted on-street parking is available to residents and visitors along its full length. There is no Controlled Parking Zone in operation.</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 xml:space="preserve">2.4 The Council maintains that </w:t>
      </w:r>
      <w:proofErr w:type="gramStart"/>
      <w:r w:rsidRPr="00E249E1">
        <w:rPr>
          <w:rFonts w:ascii="Arial" w:eastAsia="Times New Roman" w:hAnsi="Arial" w:cs="Arial"/>
          <w:b/>
          <w:bCs/>
          <w:color w:val="505A5F"/>
          <w:kern w:val="0"/>
          <w:sz w:val="22"/>
          <w:szCs w:val="22"/>
          <w:shd w:val="clear" w:color="auto" w:fill="FFFFFF"/>
          <w:lang w:eastAsia="en-GB"/>
          <w14:ligatures w14:val="none"/>
        </w:rPr>
        <w:t>The</w:t>
      </w:r>
      <w:proofErr w:type="gramEnd"/>
      <w:r w:rsidRPr="00E249E1">
        <w:rPr>
          <w:rFonts w:ascii="Arial" w:eastAsia="Times New Roman" w:hAnsi="Arial" w:cs="Arial"/>
          <w:b/>
          <w:bCs/>
          <w:color w:val="505A5F"/>
          <w:kern w:val="0"/>
          <w:sz w:val="22"/>
          <w:szCs w:val="22"/>
          <w:shd w:val="clear" w:color="auto" w:fill="FFFFFF"/>
          <w:lang w:eastAsia="en-GB"/>
          <w14:ligatures w14:val="none"/>
        </w:rPr>
        <w:t xml:space="preserve"> proposal is substandard in terms of parking provision in that the proposal would require the provision of 1 car parking space to be provided for the occupants of the </w:t>
      </w:r>
      <w:proofErr w:type="gramStart"/>
      <w:r w:rsidRPr="00E249E1">
        <w:rPr>
          <w:rFonts w:ascii="Arial" w:eastAsia="Times New Roman" w:hAnsi="Arial" w:cs="Arial"/>
          <w:b/>
          <w:bCs/>
          <w:color w:val="505A5F"/>
          <w:kern w:val="0"/>
          <w:sz w:val="22"/>
          <w:szCs w:val="22"/>
          <w:shd w:val="clear" w:color="auto" w:fill="FFFFFF"/>
          <w:lang w:eastAsia="en-GB"/>
          <w14:ligatures w14:val="none"/>
        </w:rPr>
        <w:t>studio</w:t>
      </w:r>
      <w:proofErr w:type="gramEnd"/>
      <w:r w:rsidRPr="00E249E1">
        <w:rPr>
          <w:rFonts w:ascii="Arial" w:eastAsia="Times New Roman" w:hAnsi="Arial" w:cs="Arial"/>
          <w:b/>
          <w:bCs/>
          <w:color w:val="505A5F"/>
          <w:kern w:val="0"/>
          <w:sz w:val="22"/>
          <w:szCs w:val="22"/>
          <w:shd w:val="clear" w:color="auto" w:fill="FFFFFF"/>
          <w:lang w:eastAsia="en-GB"/>
          <w14:ligatures w14:val="none"/>
        </w:rPr>
        <w:t xml:space="preserve"> and 2 spaces would be required for the host dwelling. the submitted plans indicate a car parking space directly in front of the proposed studio entrance. This arrangement is not acceptable. In accordance with inclusive design and pedestrian safety standards, all pedestrian paths and entrances must be kept clear of obstruction. The under provision of parking would likely result in the displacement of vehicles and accumulation of parking within Fairholme Crescent and other surrounding streets, which are not subject of parking restrictions. This would present an obstruction to road users and the safe movement of vehicles.</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2.5 The applicant has failed to provide an acceptable quantity of car and cycle parking and has the potential to lead to undue on-street parking displacement to the detriment of parking capacity and safety on the local public highway, contrary to Paragraph 112 of the NPPF 2024; Policies T2, T4 and T5 of the London Plan 2021 and Policies DMT 1, DMT 2, DMT 5 and DMT 6 of the Hillingdon Local Plan Part 2 Development Management Policies.</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3. Conclusion</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3.1 For the reasons set out in the delegated report and this statement, the Council considers that the proposed. The Inspector is therefore respectfully requested to dismiss the appeal.</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3.2 In the event that the Inspector considers the appeal should be allowed, and without prejudice to the Council’s case, a list of recommended planning conditions is included at Appendix 2.</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Appendices</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Appendix 1 – Planning Officer’s Delegated Report</w:t>
      </w:r>
      <w:r w:rsidRPr="00E249E1">
        <w:rPr>
          <w:rFonts w:ascii="Arial" w:eastAsia="Times New Roman" w:hAnsi="Arial" w:cs="Arial"/>
          <w:b/>
          <w:bCs/>
          <w:color w:val="505A5F"/>
          <w:kern w:val="0"/>
          <w:sz w:val="22"/>
          <w:szCs w:val="22"/>
          <w:shd w:val="clear" w:color="auto" w:fill="FFFFFF"/>
          <w:lang w:eastAsia="en-GB"/>
          <w14:ligatures w14:val="none"/>
        </w:rPr>
        <w:br/>
      </w:r>
      <w:r w:rsidRPr="00E249E1">
        <w:rPr>
          <w:rFonts w:ascii="Arial" w:eastAsia="Times New Roman" w:hAnsi="Arial" w:cs="Arial"/>
          <w:b/>
          <w:bCs/>
          <w:color w:val="505A5F"/>
          <w:kern w:val="0"/>
          <w:sz w:val="22"/>
          <w:szCs w:val="22"/>
          <w:shd w:val="clear" w:color="auto" w:fill="FFFFFF"/>
          <w:lang w:eastAsia="en-GB"/>
          <w14:ligatures w14:val="none"/>
        </w:rPr>
        <w:br/>
        <w:t>Appendix 2 – The LPA’s Recommended Conditions</w:t>
      </w:r>
    </w:p>
    <w:p w14:paraId="43EFD12B" w14:textId="57A4EA1F" w:rsidR="00D249CB" w:rsidRPr="00E249E1" w:rsidRDefault="00D249CB" w:rsidP="00E249E1"/>
    <w:sectPr w:rsidR="00D249CB" w:rsidRPr="00E249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2444"/>
    <w:rsid w:val="00011991"/>
    <w:rsid w:val="0006104F"/>
    <w:rsid w:val="000808C3"/>
    <w:rsid w:val="00080CB8"/>
    <w:rsid w:val="00091FB3"/>
    <w:rsid w:val="00133337"/>
    <w:rsid w:val="003236D4"/>
    <w:rsid w:val="00356319"/>
    <w:rsid w:val="00372444"/>
    <w:rsid w:val="003B1BC5"/>
    <w:rsid w:val="005F5260"/>
    <w:rsid w:val="00633073"/>
    <w:rsid w:val="006D184F"/>
    <w:rsid w:val="00982D54"/>
    <w:rsid w:val="00A25974"/>
    <w:rsid w:val="00AE43A5"/>
    <w:rsid w:val="00C042B7"/>
    <w:rsid w:val="00D03B3F"/>
    <w:rsid w:val="00D05750"/>
    <w:rsid w:val="00D249CB"/>
    <w:rsid w:val="00D403BB"/>
    <w:rsid w:val="00E249E1"/>
    <w:rsid w:val="00F72438"/>
    <w:rsid w:val="00FE12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963D7B"/>
  <w15:chartTrackingRefBased/>
  <w15:docId w15:val="{7D8F14BF-1FC4-4663-BE8D-F8DACC205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244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244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244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244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244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244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244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244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244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244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244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244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244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244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244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244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244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2444"/>
    <w:rPr>
      <w:rFonts w:eastAsiaTheme="majorEastAsia" w:cstheme="majorBidi"/>
      <w:color w:val="272727" w:themeColor="text1" w:themeTint="D8"/>
    </w:rPr>
  </w:style>
  <w:style w:type="paragraph" w:styleId="Title">
    <w:name w:val="Title"/>
    <w:basedOn w:val="Normal"/>
    <w:next w:val="Normal"/>
    <w:link w:val="TitleChar"/>
    <w:uiPriority w:val="10"/>
    <w:qFormat/>
    <w:rsid w:val="003724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24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244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244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2444"/>
    <w:pPr>
      <w:spacing w:before="160"/>
      <w:jc w:val="center"/>
    </w:pPr>
    <w:rPr>
      <w:i/>
      <w:iCs/>
      <w:color w:val="404040" w:themeColor="text1" w:themeTint="BF"/>
    </w:rPr>
  </w:style>
  <w:style w:type="character" w:customStyle="1" w:styleId="QuoteChar">
    <w:name w:val="Quote Char"/>
    <w:basedOn w:val="DefaultParagraphFont"/>
    <w:link w:val="Quote"/>
    <w:uiPriority w:val="29"/>
    <w:rsid w:val="00372444"/>
    <w:rPr>
      <w:i/>
      <w:iCs/>
      <w:color w:val="404040" w:themeColor="text1" w:themeTint="BF"/>
    </w:rPr>
  </w:style>
  <w:style w:type="paragraph" w:styleId="ListParagraph">
    <w:name w:val="List Paragraph"/>
    <w:basedOn w:val="Normal"/>
    <w:uiPriority w:val="34"/>
    <w:qFormat/>
    <w:rsid w:val="00372444"/>
    <w:pPr>
      <w:ind w:left="720"/>
      <w:contextualSpacing/>
    </w:pPr>
  </w:style>
  <w:style w:type="character" w:styleId="IntenseEmphasis">
    <w:name w:val="Intense Emphasis"/>
    <w:basedOn w:val="DefaultParagraphFont"/>
    <w:uiPriority w:val="21"/>
    <w:qFormat/>
    <w:rsid w:val="00372444"/>
    <w:rPr>
      <w:i/>
      <w:iCs/>
      <w:color w:val="0F4761" w:themeColor="accent1" w:themeShade="BF"/>
    </w:rPr>
  </w:style>
  <w:style w:type="paragraph" w:styleId="IntenseQuote">
    <w:name w:val="Intense Quote"/>
    <w:basedOn w:val="Normal"/>
    <w:next w:val="Normal"/>
    <w:link w:val="IntenseQuoteChar"/>
    <w:uiPriority w:val="30"/>
    <w:qFormat/>
    <w:rsid w:val="0037244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2444"/>
    <w:rPr>
      <w:i/>
      <w:iCs/>
      <w:color w:val="0F4761" w:themeColor="accent1" w:themeShade="BF"/>
    </w:rPr>
  </w:style>
  <w:style w:type="character" w:styleId="IntenseReference">
    <w:name w:val="Intense Reference"/>
    <w:basedOn w:val="DefaultParagraphFont"/>
    <w:uiPriority w:val="32"/>
    <w:qFormat/>
    <w:rsid w:val="00372444"/>
    <w:rPr>
      <w:b/>
      <w:bCs/>
      <w:smallCaps/>
      <w:color w:val="0F4761" w:themeColor="accent1" w:themeShade="BF"/>
      <w:spacing w:val="5"/>
    </w:rPr>
  </w:style>
  <w:style w:type="character" w:styleId="Hyperlink">
    <w:name w:val="Hyperlink"/>
    <w:basedOn w:val="DefaultParagraphFont"/>
    <w:uiPriority w:val="99"/>
    <w:unhideWhenUsed/>
    <w:rsid w:val="006D184F"/>
    <w:rPr>
      <w:color w:val="467886" w:themeColor="hyperlink"/>
      <w:u w:val="single"/>
    </w:rPr>
  </w:style>
  <w:style w:type="character" w:styleId="UnresolvedMention">
    <w:name w:val="Unresolved Mention"/>
    <w:basedOn w:val="DefaultParagraphFont"/>
    <w:uiPriority w:val="99"/>
    <w:semiHidden/>
    <w:unhideWhenUsed/>
    <w:rsid w:val="006D18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TotalTime>
  <Pages>4</Pages>
  <Words>1166</Words>
  <Characters>6651</Characters>
  <Application>Microsoft Office Word</Application>
  <DocSecurity>0</DocSecurity>
  <Lines>55</Lines>
  <Paragraphs>15</Paragraphs>
  <ScaleCrop>false</ScaleCrop>
  <Company>LBH</Company>
  <LinksUpToDate>false</LinksUpToDate>
  <CharactersWithSpaces>7802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Allum</dc:creator>
  <cp:keywords/>
  <dc:description/>
  <cp:lastModifiedBy>John Allum</cp:lastModifiedBy>
  <cp:revision>15</cp:revision>
  <dcterms:created xsi:type="dcterms:W3CDTF">2026-01-22T17:29:00Z</dcterms:created>
  <dcterms:modified xsi:type="dcterms:W3CDTF">2026-07-08T13:57:00Z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2026-01-22T17:30:50Z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75260bfc-3816-4eca-8197-587309a5a57c</vt:lpwstr>
  </property>
  <property fmtid="{D5CDD505-2E9C-101B-9397-08002B2CF9AE}" pid="8" name="MSIP_Label_7a8edf35-91ea-44e1-afab-38c462b39a0c_ContentBits">
    <vt:lpwstr>0</vt:lpwstr>
  </property>
  <property fmtid="{D5CDD505-2E9C-101B-9397-08002B2CF9AE}" pid="9" name="MSIP_Label_7a8edf35-91ea-44e1-afab-38c462b39a0c_Tag">
    <vt:lpwstr>10, 3, 0, 1</vt:lpwstr>
  </property>
</Properties>
</file>