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D082B" w14:textId="77777777" w:rsidR="002177A3" w:rsidRPr="002177A3" w:rsidRDefault="002177A3" w:rsidP="002177A3">
      <w:pPr>
        <w:rPr>
          <w:rFonts w:ascii="Arial" w:hAnsi="Arial" w:cs="Arial"/>
          <w:sz w:val="22"/>
          <w:szCs w:val="22"/>
        </w:rPr>
      </w:pPr>
      <w:r w:rsidRPr="002177A3">
        <w:rPr>
          <w:rFonts w:ascii="Arial" w:hAnsi="Arial" w:cs="Arial"/>
          <w:sz w:val="22"/>
          <w:szCs w:val="22"/>
        </w:rPr>
        <w:t>Appeal 6007587</w:t>
      </w:r>
    </w:p>
    <w:p w14:paraId="7E8F0ED1" w14:textId="77777777" w:rsidR="002177A3" w:rsidRPr="002177A3" w:rsidRDefault="002177A3" w:rsidP="002177A3">
      <w:pPr>
        <w:rPr>
          <w:rFonts w:ascii="Arial" w:hAnsi="Arial" w:cs="Arial"/>
          <w:b/>
          <w:bCs/>
          <w:sz w:val="22"/>
          <w:szCs w:val="22"/>
        </w:rPr>
      </w:pPr>
      <w:r w:rsidRPr="002177A3">
        <w:rPr>
          <w:rFonts w:ascii="Arial" w:hAnsi="Arial" w:cs="Arial"/>
          <w:b/>
          <w:bCs/>
          <w:sz w:val="22"/>
          <w:szCs w:val="22"/>
        </w:rPr>
        <w:t>Appellant's final comments</w:t>
      </w:r>
    </w:p>
    <w:p w14:paraId="513866C7" w14:textId="77777777" w:rsidR="002177A3" w:rsidRPr="002177A3" w:rsidRDefault="002177A3" w:rsidP="002177A3">
      <w:pPr>
        <w:rPr>
          <w:rFonts w:ascii="Arial" w:hAnsi="Arial" w:cs="Arial"/>
          <w:b/>
          <w:bCs/>
          <w:sz w:val="22"/>
          <w:szCs w:val="22"/>
        </w:rPr>
      </w:pPr>
      <w:r w:rsidRPr="002177A3">
        <w:rPr>
          <w:rFonts w:ascii="Arial" w:hAnsi="Arial" w:cs="Arial"/>
          <w:b/>
          <w:bCs/>
          <w:sz w:val="22"/>
          <w:szCs w:val="22"/>
        </w:rPr>
        <w:t>Appeal type</w:t>
      </w:r>
    </w:p>
    <w:p w14:paraId="7BCBCE0F" w14:textId="77777777" w:rsidR="002177A3" w:rsidRPr="002177A3" w:rsidRDefault="002177A3" w:rsidP="002177A3">
      <w:pPr>
        <w:rPr>
          <w:rFonts w:ascii="Arial" w:hAnsi="Arial" w:cs="Arial"/>
          <w:sz w:val="22"/>
          <w:szCs w:val="22"/>
        </w:rPr>
      </w:pPr>
      <w:r w:rsidRPr="002177A3">
        <w:rPr>
          <w:rFonts w:ascii="Arial" w:hAnsi="Arial" w:cs="Arial"/>
          <w:sz w:val="22"/>
          <w:szCs w:val="22"/>
        </w:rPr>
        <w:t>Planning</w:t>
      </w:r>
    </w:p>
    <w:p w14:paraId="54AD199F" w14:textId="77777777" w:rsidR="002177A3" w:rsidRPr="002177A3" w:rsidRDefault="002177A3" w:rsidP="002177A3">
      <w:pPr>
        <w:rPr>
          <w:rFonts w:ascii="Arial" w:hAnsi="Arial" w:cs="Arial"/>
          <w:b/>
          <w:bCs/>
          <w:sz w:val="22"/>
          <w:szCs w:val="22"/>
        </w:rPr>
      </w:pPr>
      <w:r w:rsidRPr="002177A3">
        <w:rPr>
          <w:rFonts w:ascii="Arial" w:hAnsi="Arial" w:cs="Arial"/>
          <w:b/>
          <w:bCs/>
          <w:sz w:val="22"/>
          <w:szCs w:val="22"/>
        </w:rPr>
        <w:t>Appeal procedure</w:t>
      </w:r>
    </w:p>
    <w:p w14:paraId="0FBCD27D" w14:textId="77777777" w:rsidR="002177A3" w:rsidRPr="002177A3" w:rsidRDefault="002177A3" w:rsidP="002177A3">
      <w:pPr>
        <w:rPr>
          <w:rFonts w:ascii="Arial" w:hAnsi="Arial" w:cs="Arial"/>
          <w:sz w:val="22"/>
          <w:szCs w:val="22"/>
        </w:rPr>
      </w:pPr>
      <w:r w:rsidRPr="002177A3">
        <w:rPr>
          <w:rFonts w:ascii="Arial" w:hAnsi="Arial" w:cs="Arial"/>
          <w:sz w:val="22"/>
          <w:szCs w:val="22"/>
        </w:rPr>
        <w:t>Written</w:t>
      </w:r>
    </w:p>
    <w:p w14:paraId="59E3C433" w14:textId="77777777" w:rsidR="002177A3" w:rsidRPr="002177A3" w:rsidRDefault="002177A3" w:rsidP="002177A3">
      <w:pPr>
        <w:rPr>
          <w:rFonts w:ascii="Arial" w:hAnsi="Arial" w:cs="Arial"/>
          <w:b/>
          <w:bCs/>
          <w:sz w:val="22"/>
          <w:szCs w:val="22"/>
        </w:rPr>
      </w:pPr>
      <w:r w:rsidRPr="002177A3">
        <w:rPr>
          <w:rFonts w:ascii="Arial" w:hAnsi="Arial" w:cs="Arial"/>
          <w:b/>
          <w:bCs/>
          <w:sz w:val="22"/>
          <w:szCs w:val="22"/>
        </w:rPr>
        <w:t>Appeal site</w:t>
      </w:r>
    </w:p>
    <w:p w14:paraId="11EABA9D" w14:textId="77777777" w:rsidR="002177A3" w:rsidRPr="002177A3" w:rsidRDefault="002177A3" w:rsidP="002177A3">
      <w:pPr>
        <w:rPr>
          <w:rFonts w:ascii="Arial" w:hAnsi="Arial" w:cs="Arial"/>
          <w:sz w:val="22"/>
          <w:szCs w:val="22"/>
        </w:rPr>
      </w:pPr>
      <w:r w:rsidRPr="002177A3">
        <w:rPr>
          <w:rFonts w:ascii="Arial" w:hAnsi="Arial" w:cs="Arial"/>
          <w:sz w:val="22"/>
          <w:szCs w:val="22"/>
        </w:rPr>
        <w:t>79 Fairholme Crescent, Hayes, Middlesex, UB4 8QU</w:t>
      </w:r>
    </w:p>
    <w:p w14:paraId="7505C397" w14:textId="77777777" w:rsidR="002177A3" w:rsidRPr="002177A3" w:rsidRDefault="002177A3" w:rsidP="002177A3">
      <w:pPr>
        <w:rPr>
          <w:rFonts w:ascii="Arial" w:hAnsi="Arial" w:cs="Arial"/>
          <w:b/>
          <w:bCs/>
          <w:sz w:val="22"/>
          <w:szCs w:val="22"/>
        </w:rPr>
      </w:pPr>
      <w:r w:rsidRPr="002177A3">
        <w:rPr>
          <w:rFonts w:ascii="Arial" w:hAnsi="Arial" w:cs="Arial"/>
          <w:b/>
          <w:bCs/>
          <w:sz w:val="22"/>
          <w:szCs w:val="22"/>
        </w:rPr>
        <w:t>Agent contact details</w:t>
      </w:r>
    </w:p>
    <w:p w14:paraId="792D7EA6" w14:textId="77777777" w:rsidR="002177A3" w:rsidRPr="002177A3" w:rsidRDefault="002177A3" w:rsidP="002177A3">
      <w:pPr>
        <w:rPr>
          <w:rFonts w:ascii="Arial" w:hAnsi="Arial" w:cs="Arial"/>
          <w:sz w:val="22"/>
          <w:szCs w:val="22"/>
        </w:rPr>
      </w:pPr>
      <w:r w:rsidRPr="002177A3">
        <w:rPr>
          <w:rFonts w:ascii="Arial" w:hAnsi="Arial" w:cs="Arial"/>
          <w:sz w:val="22"/>
          <w:szCs w:val="22"/>
        </w:rPr>
        <w:t>Courtney Dawson</w:t>
      </w:r>
      <w:r w:rsidRPr="002177A3">
        <w:rPr>
          <w:rFonts w:ascii="Arial" w:hAnsi="Arial" w:cs="Arial"/>
          <w:sz w:val="22"/>
          <w:szCs w:val="22"/>
        </w:rPr>
        <w:br/>
        <w:t>office@mzaplanning.com</w:t>
      </w:r>
      <w:r w:rsidRPr="002177A3">
        <w:rPr>
          <w:rFonts w:ascii="Arial" w:hAnsi="Arial" w:cs="Arial"/>
          <w:sz w:val="22"/>
          <w:szCs w:val="22"/>
        </w:rPr>
        <w:br/>
        <w:t>02089957848</w:t>
      </w:r>
    </w:p>
    <w:p w14:paraId="61609DD0" w14:textId="77777777" w:rsidR="002177A3" w:rsidRPr="002177A3" w:rsidRDefault="002177A3" w:rsidP="002177A3">
      <w:pPr>
        <w:rPr>
          <w:rFonts w:ascii="Arial" w:hAnsi="Arial" w:cs="Arial"/>
          <w:b/>
          <w:bCs/>
          <w:sz w:val="22"/>
          <w:szCs w:val="22"/>
        </w:rPr>
      </w:pPr>
      <w:r w:rsidRPr="002177A3">
        <w:rPr>
          <w:rFonts w:ascii="Arial" w:hAnsi="Arial" w:cs="Arial"/>
          <w:b/>
          <w:bCs/>
          <w:sz w:val="22"/>
          <w:szCs w:val="22"/>
        </w:rPr>
        <w:t>Local planning authority</w:t>
      </w:r>
    </w:p>
    <w:p w14:paraId="529329F9" w14:textId="77777777" w:rsidR="002177A3" w:rsidRPr="002177A3" w:rsidRDefault="002177A3" w:rsidP="002177A3">
      <w:pPr>
        <w:rPr>
          <w:rFonts w:ascii="Arial" w:hAnsi="Arial" w:cs="Arial"/>
          <w:sz w:val="22"/>
          <w:szCs w:val="22"/>
        </w:rPr>
      </w:pPr>
      <w:r w:rsidRPr="002177A3">
        <w:rPr>
          <w:rFonts w:ascii="Arial" w:hAnsi="Arial" w:cs="Arial"/>
          <w:sz w:val="22"/>
          <w:szCs w:val="22"/>
        </w:rPr>
        <w:t>London Borough of Hillingdon</w:t>
      </w:r>
    </w:p>
    <w:p w14:paraId="72BE277F" w14:textId="77777777" w:rsidR="002177A3" w:rsidRPr="002177A3" w:rsidRDefault="002177A3" w:rsidP="002177A3">
      <w:pPr>
        <w:rPr>
          <w:rFonts w:ascii="Arial" w:hAnsi="Arial" w:cs="Arial"/>
          <w:b/>
          <w:bCs/>
          <w:sz w:val="22"/>
          <w:szCs w:val="22"/>
        </w:rPr>
      </w:pPr>
      <w:r w:rsidRPr="002177A3">
        <w:rPr>
          <w:rFonts w:ascii="Arial" w:hAnsi="Arial" w:cs="Arial"/>
          <w:b/>
          <w:bCs/>
          <w:sz w:val="22"/>
          <w:szCs w:val="22"/>
        </w:rPr>
        <w:t>Application number</w:t>
      </w:r>
    </w:p>
    <w:p w14:paraId="03FE1E83" w14:textId="77777777" w:rsidR="002177A3" w:rsidRPr="002177A3" w:rsidRDefault="002177A3" w:rsidP="002177A3">
      <w:pPr>
        <w:rPr>
          <w:rFonts w:ascii="Arial" w:hAnsi="Arial" w:cs="Arial"/>
          <w:sz w:val="22"/>
          <w:szCs w:val="22"/>
        </w:rPr>
      </w:pPr>
      <w:r w:rsidRPr="002177A3">
        <w:rPr>
          <w:rFonts w:ascii="Arial" w:hAnsi="Arial" w:cs="Arial"/>
          <w:sz w:val="22"/>
          <w:szCs w:val="22"/>
        </w:rPr>
        <w:t>53556/APP/2025/1948</w:t>
      </w:r>
    </w:p>
    <w:p w14:paraId="46E5464E" w14:textId="77777777" w:rsidR="002177A3" w:rsidRPr="002177A3" w:rsidRDefault="002177A3" w:rsidP="002177A3">
      <w:pPr>
        <w:rPr>
          <w:rFonts w:ascii="Arial" w:hAnsi="Arial" w:cs="Arial"/>
          <w:sz w:val="22"/>
          <w:szCs w:val="22"/>
        </w:rPr>
      </w:pPr>
      <w:r w:rsidRPr="002177A3">
        <w:rPr>
          <w:rFonts w:ascii="Arial" w:hAnsi="Arial" w:cs="Arial"/>
          <w:sz w:val="22"/>
          <w:szCs w:val="22"/>
        </w:rPr>
        <w:pict w14:anchorId="0DCD37A9">
          <v:rect id="_x0000_i1033" style="width:0;height:1.5pt" o:hralign="center" o:hrstd="t" o:hr="t" fillcolor="#a0a0a0" stroked="f"/>
        </w:pict>
      </w:r>
    </w:p>
    <w:p w14:paraId="64C6F972" w14:textId="77777777" w:rsidR="002177A3" w:rsidRPr="002177A3" w:rsidRDefault="002177A3" w:rsidP="002177A3">
      <w:pPr>
        <w:rPr>
          <w:rFonts w:ascii="Arial" w:hAnsi="Arial" w:cs="Arial"/>
          <w:b/>
          <w:bCs/>
          <w:sz w:val="22"/>
          <w:szCs w:val="22"/>
        </w:rPr>
      </w:pPr>
      <w:r w:rsidRPr="002177A3">
        <w:rPr>
          <w:rFonts w:ascii="Arial" w:hAnsi="Arial" w:cs="Arial"/>
          <w:b/>
          <w:bCs/>
          <w:sz w:val="22"/>
          <w:szCs w:val="22"/>
        </w:rPr>
        <w:t>Final comments</w:t>
      </w:r>
    </w:p>
    <w:p w14:paraId="405C85D2" w14:textId="18F5E6F5" w:rsidR="002177A3" w:rsidRPr="002177A3" w:rsidRDefault="002177A3" w:rsidP="002177A3">
      <w:pPr>
        <w:rPr>
          <w:rFonts w:ascii="Arial" w:hAnsi="Arial" w:cs="Arial"/>
          <w:sz w:val="22"/>
          <w:szCs w:val="22"/>
        </w:rPr>
      </w:pPr>
      <w:r w:rsidRPr="002177A3">
        <w:rPr>
          <w:rFonts w:ascii="Arial" w:hAnsi="Arial" w:cs="Arial"/>
          <w:sz w:val="22"/>
          <w:szCs w:val="22"/>
        </w:rPr>
        <w:t>The Council's statement confirms that the bulk and massing of the proposed extension would not be at odds with development within the area. The Appellant respectfully submits that this concession further undermines the first reason for refusal, which is expressly founded on size, scale and bulk as the basis for harm.</w:t>
      </w:r>
      <w:r w:rsidRPr="002177A3">
        <w:rPr>
          <w:rFonts w:ascii="Arial" w:hAnsi="Arial" w:cs="Arial"/>
          <w:sz w:val="22"/>
          <w:szCs w:val="22"/>
        </w:rPr>
        <w:br/>
        <w:t>The Council's case, as clarified at paragraph 2.2 of their statement, is that the harm arises from the subdivision of the plot and the introduction of a separate dwelling rather than from the physical form of the extension itself. The Appellant notes that this is a use and tenure argument, not a design argument. The policies cited in Reason 1 — BE1, DMHB 11, DMHB 12, D1 and D4 — assess the physical impact of development on the character and appearance of the area.</w:t>
      </w:r>
      <w:r w:rsidRPr="002177A3">
        <w:rPr>
          <w:rFonts w:ascii="Arial" w:hAnsi="Arial" w:cs="Arial"/>
          <w:sz w:val="22"/>
          <w:szCs w:val="22"/>
        </w:rPr>
        <w:br/>
        <w:t>Parking — Entrance Obstruction Point</w:t>
      </w:r>
      <w:r w:rsidRPr="002177A3">
        <w:rPr>
          <w:rFonts w:ascii="Arial" w:hAnsi="Arial" w:cs="Arial"/>
          <w:sz w:val="22"/>
          <w:szCs w:val="22"/>
        </w:rPr>
        <w:br/>
        <w:t>The Council places weight on the positioning of a parking space shown on das being directly in front of the studio entrance. The Appellant respectfully submits that this point does not justify dismissal of the appeal.</w:t>
      </w:r>
      <w:r w:rsidRPr="002177A3">
        <w:rPr>
          <w:rFonts w:ascii="Arial" w:hAnsi="Arial" w:cs="Arial"/>
          <w:sz w:val="22"/>
          <w:szCs w:val="22"/>
        </w:rPr>
        <w:br/>
        <w:t>The block plan was submitted to demonstrate that a parking space can physically be accommodated within the driveway curtilage. It was not intended to fix the precise and permanent position of that space. The driveway is of sufficient width and depth to accommodate vehicles in a variety of positions that do not obstruct the studio entrance. No vehicle would in practice be required to park immediately in front of the door given the available space on the driveway.</w:t>
      </w:r>
      <w:r w:rsidRPr="002177A3">
        <w:rPr>
          <w:rFonts w:ascii="Arial" w:hAnsi="Arial" w:cs="Arial"/>
          <w:sz w:val="22"/>
          <w:szCs w:val="22"/>
        </w:rPr>
        <w:br/>
        <w:t xml:space="preserve">The Appellant notes that the Council has itself included a condition at Appendix 2 of their </w:t>
      </w:r>
      <w:r w:rsidRPr="002177A3">
        <w:rPr>
          <w:rFonts w:ascii="Arial" w:hAnsi="Arial" w:cs="Arial"/>
          <w:sz w:val="22"/>
          <w:szCs w:val="22"/>
        </w:rPr>
        <w:lastRenderedPageBreak/>
        <w:t>statement requiring the parking layout to be constructed and laid out prior to occupation. The inclusion of this condition is significant — it demonstrates that the Council considers the parking concern capable of resolution by condition rather than requiring outright refusal. The Appellant is agreeable to such a condition and will ensure no car is blocking the entrance</w:t>
      </w:r>
      <w:r w:rsidRPr="002177A3">
        <w:rPr>
          <w:rFonts w:ascii="Arial" w:hAnsi="Arial" w:cs="Arial"/>
          <w:sz w:val="22"/>
          <w:szCs w:val="22"/>
        </w:rPr>
        <w:br/>
      </w:r>
      <w:r w:rsidRPr="002177A3">
        <w:rPr>
          <w:rFonts w:ascii="Arial" w:hAnsi="Arial" w:cs="Arial"/>
          <w:sz w:val="22"/>
          <w:szCs w:val="22"/>
        </w:rPr>
        <w:br/>
        <w:t>The Inspector is respectfully requested to allow this appeal and grant planning permission for the proposed development, subject to any conditions considered appropriate.</w:t>
      </w:r>
      <w:r w:rsidRPr="002177A3">
        <w:rPr>
          <w:rFonts w:ascii="Arial" w:hAnsi="Arial" w:cs="Arial"/>
          <w:sz w:val="22"/>
          <w:szCs w:val="22"/>
        </w:rPr>
        <w:t xml:space="preserve"> </w:t>
      </w:r>
    </w:p>
    <w:p w14:paraId="3886A959" w14:textId="77777777" w:rsidR="002177A3" w:rsidRPr="002177A3" w:rsidRDefault="002177A3" w:rsidP="002177A3">
      <w:pPr>
        <w:rPr>
          <w:rFonts w:ascii="Arial" w:hAnsi="Arial" w:cs="Arial"/>
          <w:b/>
          <w:bCs/>
          <w:sz w:val="22"/>
          <w:szCs w:val="22"/>
        </w:rPr>
      </w:pPr>
      <w:r w:rsidRPr="002177A3">
        <w:rPr>
          <w:rFonts w:ascii="Arial" w:hAnsi="Arial" w:cs="Arial"/>
          <w:b/>
          <w:bCs/>
          <w:sz w:val="22"/>
          <w:szCs w:val="22"/>
        </w:rPr>
        <w:t>Supporting documents</w:t>
      </w:r>
    </w:p>
    <w:p w14:paraId="211B8FEE" w14:textId="77777777" w:rsidR="002177A3" w:rsidRPr="002177A3" w:rsidRDefault="002177A3" w:rsidP="002177A3">
      <w:pPr>
        <w:rPr>
          <w:rFonts w:ascii="Arial" w:hAnsi="Arial" w:cs="Arial"/>
          <w:sz w:val="22"/>
          <w:szCs w:val="22"/>
        </w:rPr>
      </w:pPr>
      <w:r w:rsidRPr="002177A3">
        <w:rPr>
          <w:rFonts w:ascii="Arial" w:hAnsi="Arial" w:cs="Arial"/>
          <w:sz w:val="22"/>
          <w:szCs w:val="22"/>
        </w:rPr>
        <w:t>No documents</w:t>
      </w:r>
    </w:p>
    <w:p w14:paraId="43EFD12B" w14:textId="77777777" w:rsidR="00D249CB" w:rsidRPr="003B1BC5" w:rsidRDefault="00D249CB">
      <w:pPr>
        <w:rPr>
          <w:rFonts w:ascii="Arial" w:hAnsi="Arial" w:cs="Arial"/>
          <w:sz w:val="22"/>
          <w:szCs w:val="22"/>
        </w:rPr>
      </w:pPr>
    </w:p>
    <w:sectPr w:rsidR="00D249CB" w:rsidRPr="003B1B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444"/>
    <w:rsid w:val="00091FB3"/>
    <w:rsid w:val="00133337"/>
    <w:rsid w:val="002177A3"/>
    <w:rsid w:val="00372444"/>
    <w:rsid w:val="003B1BC5"/>
    <w:rsid w:val="005F5260"/>
    <w:rsid w:val="00A25974"/>
    <w:rsid w:val="00D249CB"/>
    <w:rsid w:val="00D403BB"/>
    <w:rsid w:val="00E52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3D7B"/>
  <w15:chartTrackingRefBased/>
  <w15:docId w15:val="{7D8F14BF-1FC4-4663-BE8D-F8DACC205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2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24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4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24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2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4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24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4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4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4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444"/>
    <w:rPr>
      <w:rFonts w:eastAsiaTheme="majorEastAsia" w:cstheme="majorBidi"/>
      <w:color w:val="272727" w:themeColor="text1" w:themeTint="D8"/>
    </w:rPr>
  </w:style>
  <w:style w:type="paragraph" w:styleId="Title">
    <w:name w:val="Title"/>
    <w:basedOn w:val="Normal"/>
    <w:next w:val="Normal"/>
    <w:link w:val="TitleChar"/>
    <w:uiPriority w:val="10"/>
    <w:qFormat/>
    <w:rsid w:val="00372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444"/>
    <w:pPr>
      <w:spacing w:before="160"/>
      <w:jc w:val="center"/>
    </w:pPr>
    <w:rPr>
      <w:i/>
      <w:iCs/>
      <w:color w:val="404040" w:themeColor="text1" w:themeTint="BF"/>
    </w:rPr>
  </w:style>
  <w:style w:type="character" w:customStyle="1" w:styleId="QuoteChar">
    <w:name w:val="Quote Char"/>
    <w:basedOn w:val="DefaultParagraphFont"/>
    <w:link w:val="Quote"/>
    <w:uiPriority w:val="29"/>
    <w:rsid w:val="00372444"/>
    <w:rPr>
      <w:i/>
      <w:iCs/>
      <w:color w:val="404040" w:themeColor="text1" w:themeTint="BF"/>
    </w:rPr>
  </w:style>
  <w:style w:type="paragraph" w:styleId="ListParagraph">
    <w:name w:val="List Paragraph"/>
    <w:basedOn w:val="Normal"/>
    <w:uiPriority w:val="34"/>
    <w:qFormat/>
    <w:rsid w:val="00372444"/>
    <w:pPr>
      <w:ind w:left="720"/>
      <w:contextualSpacing/>
    </w:pPr>
  </w:style>
  <w:style w:type="character" w:styleId="IntenseEmphasis">
    <w:name w:val="Intense Emphasis"/>
    <w:basedOn w:val="DefaultParagraphFont"/>
    <w:uiPriority w:val="21"/>
    <w:qFormat/>
    <w:rsid w:val="00372444"/>
    <w:rPr>
      <w:i/>
      <w:iCs/>
      <w:color w:val="0F4761" w:themeColor="accent1" w:themeShade="BF"/>
    </w:rPr>
  </w:style>
  <w:style w:type="paragraph" w:styleId="IntenseQuote">
    <w:name w:val="Intense Quote"/>
    <w:basedOn w:val="Normal"/>
    <w:next w:val="Normal"/>
    <w:link w:val="IntenseQuoteChar"/>
    <w:uiPriority w:val="30"/>
    <w:qFormat/>
    <w:rsid w:val="00372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2444"/>
    <w:rPr>
      <w:i/>
      <w:iCs/>
      <w:color w:val="0F4761" w:themeColor="accent1" w:themeShade="BF"/>
    </w:rPr>
  </w:style>
  <w:style w:type="character" w:styleId="IntenseReference">
    <w:name w:val="Intense Reference"/>
    <w:basedOn w:val="DefaultParagraphFont"/>
    <w:uiPriority w:val="32"/>
    <w:qFormat/>
    <w:rsid w:val="00372444"/>
    <w:rPr>
      <w:b/>
      <w:bCs/>
      <w:smallCaps/>
      <w:color w:val="0F4761" w:themeColor="accent1" w:themeShade="BF"/>
      <w:spacing w:val="5"/>
    </w:rPr>
  </w:style>
  <w:style w:type="character" w:styleId="Hyperlink">
    <w:name w:val="Hyperlink"/>
    <w:basedOn w:val="DefaultParagraphFont"/>
    <w:uiPriority w:val="99"/>
    <w:unhideWhenUsed/>
    <w:rsid w:val="002177A3"/>
    <w:rPr>
      <w:color w:val="467886" w:themeColor="hyperlink"/>
      <w:u w:val="single"/>
    </w:rPr>
  </w:style>
  <w:style w:type="character" w:styleId="UnresolvedMention">
    <w:name w:val="Unresolved Mention"/>
    <w:basedOn w:val="DefaultParagraphFont"/>
    <w:uiPriority w:val="99"/>
    <w:semiHidden/>
    <w:unhideWhenUsed/>
    <w:rsid w:val="002177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375</Words>
  <Characters>2140</Characters>
  <Application>Microsoft Office Word</Application>
  <DocSecurity>0</DocSecurity>
  <Lines>17</Lines>
  <Paragraphs>5</Paragraphs>
  <ScaleCrop>false</ScaleCrop>
  <Company>LBH</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Allum</dc:creator>
  <cp:keywords/>
  <dc:description/>
  <cp:lastModifiedBy>John Allum</cp:lastModifiedBy>
  <cp:revision>6</cp:revision>
  <dcterms:created xsi:type="dcterms:W3CDTF">2026-01-22T17:29:00Z</dcterms:created>
  <dcterms:modified xsi:type="dcterms:W3CDTF">2026-06-10T15:37:00Z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2026-01-22T17:30:50Z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75260bfc-3816-4eca-8197-587309a5a57c</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ies>
</file>