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69A6" w14:textId="77777777" w:rsidR="0073305D" w:rsidRPr="004E687A" w:rsidRDefault="0073305D">
      <w:pPr>
        <w:pStyle w:val="Header"/>
        <w:tabs>
          <w:tab w:val="clear" w:pos="4153"/>
          <w:tab w:val="clear" w:pos="8306"/>
        </w:tabs>
      </w:pPr>
    </w:p>
    <w:p w14:paraId="3458DEB2" w14:textId="77777777" w:rsidR="0073305D" w:rsidRPr="004E687A" w:rsidRDefault="0073305D">
      <w:pPr>
        <w:pStyle w:val="Header"/>
        <w:tabs>
          <w:tab w:val="clear" w:pos="4153"/>
          <w:tab w:val="clear" w:pos="8306"/>
        </w:tabs>
      </w:pPr>
    </w:p>
    <w:p w14:paraId="506420E3" w14:textId="77777777" w:rsidR="0073305D" w:rsidRDefault="0073305D">
      <w:pPr>
        <w:pStyle w:val="Header"/>
        <w:tabs>
          <w:tab w:val="clear" w:pos="4153"/>
          <w:tab w:val="clear" w:pos="8306"/>
        </w:tabs>
      </w:pPr>
    </w:p>
    <w:p w14:paraId="2C4E9695" w14:textId="77777777" w:rsidR="003564DE" w:rsidRPr="004E687A" w:rsidRDefault="003564DE">
      <w:pPr>
        <w:pStyle w:val="Header"/>
        <w:tabs>
          <w:tab w:val="clear" w:pos="4153"/>
          <w:tab w:val="clear" w:pos="8306"/>
        </w:tabs>
      </w:pPr>
    </w:p>
    <w:p w14:paraId="5DF39E1B" w14:textId="77777777" w:rsidR="004E687A" w:rsidRDefault="004E687A">
      <w:pPr>
        <w:pStyle w:val="Header"/>
        <w:tabs>
          <w:tab w:val="clear" w:pos="4153"/>
          <w:tab w:val="clear" w:pos="8306"/>
        </w:tabs>
      </w:pPr>
    </w:p>
    <w:p w14:paraId="660552B0"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754224D1"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058B61F0" w14:textId="77777777" w:rsidR="003564DE" w:rsidRDefault="003564DE">
      <w:pPr>
        <w:pStyle w:val="Header"/>
        <w:tabs>
          <w:tab w:val="clear" w:pos="4153"/>
          <w:tab w:val="clear" w:pos="8306"/>
        </w:tabs>
      </w:pPr>
    </w:p>
    <w:p w14:paraId="4F38D8FA" w14:textId="77777777" w:rsidR="003564DE" w:rsidRDefault="003564DE">
      <w:pPr>
        <w:pStyle w:val="Header"/>
        <w:tabs>
          <w:tab w:val="clear" w:pos="4153"/>
          <w:tab w:val="clear" w:pos="8306"/>
        </w:tabs>
      </w:pPr>
    </w:p>
    <w:p w14:paraId="52E8CFC7" w14:textId="77777777" w:rsidR="003564DE" w:rsidRDefault="003564DE">
      <w:pPr>
        <w:pStyle w:val="Header"/>
        <w:tabs>
          <w:tab w:val="clear" w:pos="4153"/>
          <w:tab w:val="clear" w:pos="8306"/>
        </w:tabs>
      </w:pPr>
    </w:p>
    <w:p w14:paraId="4877E0C8" w14:textId="77777777" w:rsidR="003564DE" w:rsidRDefault="003564DE">
      <w:pPr>
        <w:pStyle w:val="Header"/>
        <w:tabs>
          <w:tab w:val="clear" w:pos="4153"/>
          <w:tab w:val="clear" w:pos="8306"/>
        </w:tabs>
      </w:pPr>
    </w:p>
    <w:p w14:paraId="39F72A2E" w14:textId="77777777" w:rsidR="003564DE" w:rsidRDefault="003564DE">
      <w:pPr>
        <w:pStyle w:val="Header"/>
        <w:tabs>
          <w:tab w:val="clear" w:pos="4153"/>
          <w:tab w:val="clear" w:pos="8306"/>
        </w:tabs>
      </w:pPr>
    </w:p>
    <w:p w14:paraId="5A19F22A"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306C0BBA" w14:textId="77777777" w:rsidR="008368FE" w:rsidRDefault="008368FE">
      <w:pPr>
        <w:pStyle w:val="Header"/>
        <w:tabs>
          <w:tab w:val="clear" w:pos="4153"/>
          <w:tab w:val="clear" w:pos="8306"/>
        </w:tabs>
      </w:pPr>
    </w:p>
    <w:p w14:paraId="3C0AA993" w14:textId="77777777" w:rsidR="00017EA9" w:rsidRPr="00017EA9" w:rsidRDefault="00017EA9" w:rsidP="00017EA9"/>
    <w:p w14:paraId="00183F6D" w14:textId="77777777" w:rsidR="00017EA9" w:rsidRPr="00017EA9" w:rsidRDefault="00017EA9" w:rsidP="00017EA9"/>
    <w:p w14:paraId="3D45F5F7" w14:textId="77777777" w:rsidR="00017EA9" w:rsidRPr="00017EA9" w:rsidRDefault="00017EA9" w:rsidP="00017EA9"/>
    <w:p w14:paraId="3FF9D581" w14:textId="77777777" w:rsidR="00017EA9" w:rsidRDefault="00017EA9" w:rsidP="00017EA9"/>
    <w:p w14:paraId="6E8095FE" w14:textId="77777777" w:rsidR="00017EA9" w:rsidRDefault="00017EA9" w:rsidP="00533DB4">
      <w:pPr>
        <w:tabs>
          <w:tab w:val="left" w:pos="3765"/>
        </w:tabs>
      </w:pPr>
    </w:p>
    <w:p w14:paraId="56073333" w14:textId="77777777" w:rsidR="003564DE" w:rsidRDefault="003564DE" w:rsidP="004D593D">
      <w:pPr>
        <w:pStyle w:val="Normal1"/>
        <w:widowControl w:val="0"/>
        <w:jc w:val="center"/>
        <w:rPr>
          <w:rFonts w:ascii="Arial" w:eastAsia="Arial" w:hAnsi="Arial" w:cs="Arial"/>
        </w:rPr>
      </w:pPr>
      <w:r>
        <w:rPr>
          <w:rFonts w:ascii="Arial" w:eastAsia="Arial" w:hAnsi="Arial" w:cs="Arial"/>
          <w:b/>
        </w:rPr>
        <w:t>Appeal By:</w:t>
      </w:r>
    </w:p>
    <w:p w14:paraId="6D44042A" w14:textId="74EB127B" w:rsidR="003564DE" w:rsidRDefault="00DC4E2E" w:rsidP="004D593D">
      <w:pPr>
        <w:pStyle w:val="Normal1"/>
        <w:pBdr>
          <w:top w:val="nil"/>
          <w:left w:val="nil"/>
          <w:bottom w:val="nil"/>
          <w:right w:val="nil"/>
          <w:between w:val="nil"/>
        </w:pBdr>
        <w:tabs>
          <w:tab w:val="left" w:pos="540"/>
        </w:tabs>
        <w:jc w:val="center"/>
        <w:rPr>
          <w:rFonts w:ascii="Arial" w:eastAsia="Arial" w:hAnsi="Arial" w:cs="Arial"/>
          <w:color w:val="000000"/>
        </w:rPr>
      </w:pPr>
      <w:r w:rsidRPr="00DC4E2E">
        <w:rPr>
          <w:rFonts w:ascii="Arial" w:eastAsia="Arial" w:hAnsi="Arial" w:cs="Arial"/>
        </w:rPr>
        <w:t>Mr Nimesh Ghedia</w:t>
      </w:r>
      <w:r w:rsidR="00E132C4">
        <w:rPr>
          <w:rFonts w:ascii="Arial" w:eastAsia="Arial" w:hAnsi="Arial" w:cs="Arial"/>
        </w:rPr>
        <w:br/>
      </w:r>
    </w:p>
    <w:p w14:paraId="6560BAE3" w14:textId="77777777" w:rsidR="003564DE" w:rsidRDefault="003564DE" w:rsidP="00533DB4">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Proposal:</w:t>
      </w:r>
    </w:p>
    <w:p w14:paraId="3C6D82EF" w14:textId="465F8F64" w:rsidR="003564DE" w:rsidRDefault="00DC4E2E" w:rsidP="00533DB4">
      <w:pPr>
        <w:pStyle w:val="Normal1"/>
        <w:widowControl w:val="0"/>
        <w:jc w:val="center"/>
        <w:rPr>
          <w:rFonts w:ascii="Arial" w:eastAsia="Arial" w:hAnsi="Arial" w:cs="Arial"/>
        </w:rPr>
      </w:pPr>
      <w:r w:rsidRPr="00DC4E2E">
        <w:rPr>
          <w:rFonts w:ascii="Arial" w:eastAsia="Arial" w:hAnsi="Arial" w:cs="Arial"/>
          <w:color w:val="000000"/>
        </w:rPr>
        <w:t>Erection of 1 no. dwellinghouse including associated landscaping, parking provision, bin storage and cycle storage</w:t>
      </w:r>
      <w:r w:rsidR="00B958E5">
        <w:rPr>
          <w:rFonts w:ascii="Arial" w:eastAsia="Arial" w:hAnsi="Arial" w:cs="Arial"/>
          <w:color w:val="000000"/>
        </w:rPr>
        <w:br/>
      </w:r>
      <w:r w:rsidR="008437AB">
        <w:rPr>
          <w:rFonts w:ascii="Arial" w:eastAsia="Arial" w:hAnsi="Arial" w:cs="Arial"/>
          <w:color w:val="000000"/>
        </w:rPr>
        <w:br/>
      </w:r>
      <w:r w:rsidR="003564DE">
        <w:rPr>
          <w:rFonts w:ascii="Arial" w:eastAsia="Arial" w:hAnsi="Arial" w:cs="Arial"/>
          <w:b/>
        </w:rPr>
        <w:t>Appeal Site:</w:t>
      </w:r>
    </w:p>
    <w:p w14:paraId="7D5E66ED" w14:textId="095F70E1" w:rsidR="00017EA9" w:rsidRDefault="00DC4E2E" w:rsidP="00DC4E2E">
      <w:pPr>
        <w:tabs>
          <w:tab w:val="left" w:pos="3765"/>
        </w:tabs>
        <w:jc w:val="center"/>
      </w:pPr>
      <w:r w:rsidRPr="00DC4E2E">
        <w:rPr>
          <w:rFonts w:eastAsia="Arial" w:cs="Arial"/>
          <w:lang w:eastAsia="en-GB"/>
        </w:rPr>
        <w:t>10 Lawn Avenue, West Drayton</w:t>
      </w:r>
    </w:p>
    <w:p w14:paraId="299F9AB2" w14:textId="77777777" w:rsidR="00017EA9" w:rsidRDefault="00017EA9" w:rsidP="00017EA9">
      <w:pPr>
        <w:tabs>
          <w:tab w:val="left" w:pos="3765"/>
        </w:tabs>
      </w:pPr>
    </w:p>
    <w:p w14:paraId="6AFE573C" w14:textId="77777777" w:rsidR="00017EA9" w:rsidRDefault="00017EA9" w:rsidP="00017EA9">
      <w:pPr>
        <w:tabs>
          <w:tab w:val="left" w:pos="3765"/>
        </w:tabs>
      </w:pPr>
    </w:p>
    <w:p w14:paraId="3A6577F5" w14:textId="77777777" w:rsidR="00017EA9" w:rsidRDefault="00017EA9" w:rsidP="00017EA9">
      <w:pPr>
        <w:tabs>
          <w:tab w:val="left" w:pos="3765"/>
        </w:tabs>
      </w:pPr>
    </w:p>
    <w:p w14:paraId="61B7BFDA" w14:textId="77777777" w:rsidR="00017EA9" w:rsidRDefault="00017EA9" w:rsidP="00017EA9">
      <w:pPr>
        <w:tabs>
          <w:tab w:val="left" w:pos="3765"/>
        </w:tabs>
      </w:pPr>
    </w:p>
    <w:p w14:paraId="614803D5" w14:textId="77777777" w:rsidR="00C31FBF" w:rsidRDefault="00C31FBF" w:rsidP="00017EA9">
      <w:pPr>
        <w:tabs>
          <w:tab w:val="left" w:pos="3765"/>
        </w:tabs>
      </w:pPr>
    </w:p>
    <w:p w14:paraId="22C7E2F7" w14:textId="77777777" w:rsidR="00C31FBF" w:rsidRDefault="00C31FBF" w:rsidP="00017EA9">
      <w:pPr>
        <w:tabs>
          <w:tab w:val="left" w:pos="3765"/>
        </w:tabs>
      </w:pPr>
    </w:p>
    <w:p w14:paraId="7B5DC18D" w14:textId="77777777" w:rsidR="00C05DCD" w:rsidRDefault="00C05DCD" w:rsidP="00017EA9">
      <w:pPr>
        <w:tabs>
          <w:tab w:val="left" w:pos="3765"/>
        </w:tabs>
      </w:pPr>
    </w:p>
    <w:p w14:paraId="695AD660" w14:textId="77777777" w:rsidR="00C31FBF" w:rsidRDefault="00C31FBF" w:rsidP="00017EA9">
      <w:pPr>
        <w:tabs>
          <w:tab w:val="left" w:pos="3765"/>
        </w:tabs>
      </w:pPr>
    </w:p>
    <w:p w14:paraId="5CDF0700" w14:textId="77777777" w:rsidR="00C31FBF" w:rsidRPr="0075506C" w:rsidRDefault="00C31FBF" w:rsidP="00017EA9">
      <w:pPr>
        <w:tabs>
          <w:tab w:val="left" w:pos="3765"/>
        </w:tabs>
        <w:rPr>
          <w:rFonts w:cs="Arial"/>
        </w:rPr>
      </w:pPr>
    </w:p>
    <w:p w14:paraId="42AB777C" w14:textId="77777777" w:rsidR="00C31FBF" w:rsidRPr="0075506C" w:rsidRDefault="00C31FBF" w:rsidP="008664D4">
      <w:pPr>
        <w:tabs>
          <w:tab w:val="left" w:pos="567"/>
        </w:tabs>
        <w:autoSpaceDE w:val="0"/>
        <w:autoSpaceDN w:val="0"/>
        <w:adjustRightInd w:val="0"/>
        <w:rPr>
          <w:rFonts w:cs="Arial"/>
          <w:b/>
          <w:bCs/>
          <w:sz w:val="32"/>
          <w:szCs w:val="32"/>
          <w:lang w:eastAsia="en-GB"/>
        </w:rPr>
      </w:pPr>
      <w:r w:rsidRPr="0075506C">
        <w:rPr>
          <w:rFonts w:cs="Arial"/>
          <w:b/>
          <w:bCs/>
          <w:sz w:val="32"/>
          <w:szCs w:val="32"/>
          <w:lang w:eastAsia="en-GB"/>
        </w:rPr>
        <w:t xml:space="preserve">1. </w:t>
      </w:r>
      <w:r w:rsidR="008664D4" w:rsidRPr="0075506C">
        <w:rPr>
          <w:rFonts w:cs="Arial"/>
          <w:b/>
          <w:bCs/>
          <w:sz w:val="32"/>
          <w:szCs w:val="32"/>
          <w:lang w:eastAsia="en-GB"/>
        </w:rPr>
        <w:tab/>
      </w:r>
      <w:r w:rsidRPr="0075506C">
        <w:rPr>
          <w:rFonts w:cs="Arial"/>
          <w:b/>
          <w:bCs/>
          <w:sz w:val="32"/>
          <w:szCs w:val="32"/>
          <w:lang w:eastAsia="en-GB"/>
        </w:rPr>
        <w:t>Introduction</w:t>
      </w:r>
    </w:p>
    <w:p w14:paraId="4713BAF8" w14:textId="77777777" w:rsidR="00C31FBF" w:rsidRPr="0075506C" w:rsidRDefault="00C31FBF" w:rsidP="00C31FBF">
      <w:pPr>
        <w:autoSpaceDE w:val="0"/>
        <w:autoSpaceDN w:val="0"/>
        <w:adjustRightInd w:val="0"/>
        <w:rPr>
          <w:rFonts w:cs="Arial"/>
          <w:b/>
          <w:bCs/>
          <w:lang w:eastAsia="en-GB"/>
        </w:rPr>
      </w:pPr>
    </w:p>
    <w:p w14:paraId="0EC4D62E" w14:textId="35AD9396" w:rsidR="00C31FBF" w:rsidRPr="0075506C" w:rsidRDefault="00C31FBF" w:rsidP="006E4125">
      <w:pPr>
        <w:tabs>
          <w:tab w:val="left" w:pos="567"/>
        </w:tabs>
        <w:autoSpaceDE w:val="0"/>
        <w:autoSpaceDN w:val="0"/>
        <w:adjustRightInd w:val="0"/>
        <w:ind w:left="567" w:hanging="567"/>
        <w:rPr>
          <w:rFonts w:cs="Arial"/>
          <w:lang w:eastAsia="en-GB"/>
        </w:rPr>
      </w:pPr>
      <w:r w:rsidRPr="0075506C">
        <w:rPr>
          <w:rFonts w:cs="Arial"/>
          <w:lang w:eastAsia="en-GB"/>
        </w:rPr>
        <w:lastRenderedPageBreak/>
        <w:t xml:space="preserve">1.1 </w:t>
      </w:r>
      <w:r w:rsidR="008664D4" w:rsidRPr="0075506C">
        <w:rPr>
          <w:rFonts w:cs="Arial"/>
          <w:lang w:eastAsia="en-GB"/>
        </w:rPr>
        <w:tab/>
      </w:r>
      <w:r w:rsidR="00DC4E2E" w:rsidRPr="00DC4E2E">
        <w:rPr>
          <w:rFonts w:cs="Arial"/>
          <w:lang w:eastAsia="en-GB"/>
        </w:rPr>
        <w:t>This appeal statement is submitted by the London Borough of Hillingdon (“the Council”), as the Local Planning Authority (LPA), in respect of an appeal made under Section 78 of the Town and Country Planning Act 1990 against the Council’s refusal of planning permission for application reference 77359/APP/2025/2851 at 10 Lawn Avenue, West Drayton.</w:t>
      </w:r>
      <w:r w:rsidR="00BD592D" w:rsidRPr="0075506C">
        <w:rPr>
          <w:rFonts w:cs="Arial"/>
          <w:lang w:eastAsia="en-GB"/>
        </w:rPr>
        <w:br/>
      </w:r>
    </w:p>
    <w:p w14:paraId="30595344" w14:textId="444CB374" w:rsidR="00C31FBF" w:rsidRPr="0075506C" w:rsidRDefault="00C31FBF" w:rsidP="008664D4">
      <w:pPr>
        <w:tabs>
          <w:tab w:val="left" w:pos="567"/>
        </w:tabs>
        <w:autoSpaceDE w:val="0"/>
        <w:autoSpaceDN w:val="0"/>
        <w:adjustRightInd w:val="0"/>
        <w:ind w:left="567" w:hanging="567"/>
        <w:rPr>
          <w:rFonts w:cs="Arial"/>
          <w:lang w:eastAsia="en-GB"/>
        </w:rPr>
      </w:pPr>
      <w:r w:rsidRPr="0075506C">
        <w:rPr>
          <w:rFonts w:cs="Arial"/>
          <w:lang w:eastAsia="en-GB"/>
        </w:rPr>
        <w:t xml:space="preserve">1.2 </w:t>
      </w:r>
      <w:r w:rsidR="008664D4" w:rsidRPr="0075506C">
        <w:rPr>
          <w:rFonts w:cs="Arial"/>
          <w:lang w:eastAsia="en-GB"/>
        </w:rPr>
        <w:tab/>
      </w:r>
      <w:r w:rsidR="00DC4E2E" w:rsidRPr="00DC4E2E">
        <w:rPr>
          <w:rFonts w:cs="Arial"/>
          <w:lang w:eastAsia="en-GB"/>
        </w:rPr>
        <w:t>The Council refused planning permission on 16 January 2026 for the following reasons (as stated in the decision and set out in the officer’s report / appellant’s statement):</w:t>
      </w:r>
    </w:p>
    <w:p w14:paraId="6DDC2627" w14:textId="77777777" w:rsidR="00C31FBF" w:rsidRPr="0075506C" w:rsidRDefault="00C31FBF" w:rsidP="00C31FBF">
      <w:pPr>
        <w:autoSpaceDE w:val="0"/>
        <w:autoSpaceDN w:val="0"/>
        <w:adjustRightInd w:val="0"/>
        <w:rPr>
          <w:rFonts w:cs="Arial"/>
          <w:lang w:eastAsia="en-GB"/>
        </w:rPr>
      </w:pPr>
    </w:p>
    <w:p w14:paraId="7AC8CB51" w14:textId="042CE242" w:rsidR="00DC4E2E" w:rsidRDefault="00DC4E2E" w:rsidP="0037762E">
      <w:pPr>
        <w:numPr>
          <w:ilvl w:val="2"/>
          <w:numId w:val="29"/>
        </w:numPr>
        <w:autoSpaceDE w:val="0"/>
        <w:autoSpaceDN w:val="0"/>
        <w:adjustRightInd w:val="0"/>
        <w:rPr>
          <w:rFonts w:cs="Arial"/>
          <w:lang w:eastAsia="en-GB"/>
        </w:rPr>
      </w:pPr>
      <w:r w:rsidRPr="00DC4E2E">
        <w:rPr>
          <w:rFonts w:cs="Arial"/>
          <w:lang w:eastAsia="en-GB"/>
        </w:rPr>
        <w:t>Due to its design, siting, height and bulk the proposed development would result in a cramped and uncharacteristic form of development which would fail to harmonise with the street scene, urban grain and character of the surrounding area, harming visual amenity and the character of the surrounding area, contrary to Policies BE1, DMH6, DMHB5, DMHB11, DMHB12, London Plan D1/D3/D6 and NPPF paragraphs 75, 129 and 135.</w:t>
      </w:r>
      <w:r>
        <w:rPr>
          <w:rFonts w:cs="Arial"/>
          <w:lang w:eastAsia="en-GB"/>
        </w:rPr>
        <w:br/>
      </w:r>
    </w:p>
    <w:p w14:paraId="770D3DFF" w14:textId="77777777" w:rsidR="00DC4E2E" w:rsidRDefault="00DC4E2E" w:rsidP="0037762E">
      <w:pPr>
        <w:numPr>
          <w:ilvl w:val="2"/>
          <w:numId w:val="29"/>
        </w:numPr>
        <w:autoSpaceDE w:val="0"/>
        <w:autoSpaceDN w:val="0"/>
        <w:adjustRightInd w:val="0"/>
        <w:rPr>
          <w:rFonts w:cs="Arial"/>
          <w:lang w:eastAsia="en-GB"/>
        </w:rPr>
      </w:pPr>
      <w:r w:rsidRPr="00DC4E2E">
        <w:rPr>
          <w:rFonts w:cs="Arial"/>
          <w:lang w:eastAsia="en-GB"/>
        </w:rPr>
        <w:t>Due to its design and internal arrangement, the proposed dwelling would fail to meet the requirements for an M4(2) accessible and adaptable dwelling and would fail to comply with London Plan Policy D7.</w:t>
      </w:r>
    </w:p>
    <w:p w14:paraId="573CC3D1" w14:textId="77777777" w:rsidR="00DC4E2E" w:rsidRDefault="00DC4E2E" w:rsidP="00DC4E2E">
      <w:pPr>
        <w:autoSpaceDE w:val="0"/>
        <w:autoSpaceDN w:val="0"/>
        <w:adjustRightInd w:val="0"/>
        <w:ind w:left="1080"/>
        <w:rPr>
          <w:rFonts w:cs="Arial"/>
          <w:lang w:eastAsia="en-GB"/>
        </w:rPr>
      </w:pPr>
    </w:p>
    <w:p w14:paraId="6CBB8974" w14:textId="77777777" w:rsidR="00DC4E2E" w:rsidRDefault="00DC4E2E" w:rsidP="0037762E">
      <w:pPr>
        <w:numPr>
          <w:ilvl w:val="2"/>
          <w:numId w:val="29"/>
        </w:numPr>
        <w:autoSpaceDE w:val="0"/>
        <w:autoSpaceDN w:val="0"/>
        <w:adjustRightInd w:val="0"/>
        <w:rPr>
          <w:rFonts w:cs="Arial"/>
          <w:lang w:eastAsia="en-GB"/>
        </w:rPr>
      </w:pPr>
      <w:r w:rsidRPr="00DC4E2E">
        <w:rPr>
          <w:rFonts w:cs="Arial"/>
          <w:lang w:eastAsia="en-GB"/>
        </w:rPr>
        <w:t>By reason of excessive car parking provision and lack of pedestrian visibility splays, the development would fail to promote sustainable transport and ensure highway and pedestrian safety, contrary to Local Plan Policy DMT6, London Plan Policies T6 and T6.1, the Council’s Domestic Vehicle Footway Crossover Policy (DVFC) and NPPF paragraphs 116 and 117</w:t>
      </w:r>
      <w:r>
        <w:rPr>
          <w:rFonts w:cs="Arial"/>
          <w:lang w:eastAsia="en-GB"/>
        </w:rPr>
        <w:t>.</w:t>
      </w:r>
    </w:p>
    <w:p w14:paraId="71951E80" w14:textId="77777777" w:rsidR="00DC4E2E" w:rsidRDefault="00DC4E2E" w:rsidP="00DC4E2E">
      <w:pPr>
        <w:pStyle w:val="ListParagraph"/>
        <w:rPr>
          <w:rFonts w:cs="Arial"/>
          <w:lang w:eastAsia="en-GB"/>
        </w:rPr>
      </w:pPr>
    </w:p>
    <w:p w14:paraId="31B086D4" w14:textId="2F3D769E" w:rsidR="00C31FBF" w:rsidRPr="0075506C" w:rsidRDefault="00DC4E2E" w:rsidP="0037762E">
      <w:pPr>
        <w:numPr>
          <w:ilvl w:val="2"/>
          <w:numId w:val="29"/>
        </w:numPr>
        <w:autoSpaceDE w:val="0"/>
        <w:autoSpaceDN w:val="0"/>
        <w:adjustRightInd w:val="0"/>
        <w:rPr>
          <w:rFonts w:cs="Arial"/>
          <w:lang w:eastAsia="en-GB"/>
        </w:rPr>
      </w:pPr>
      <w:r w:rsidRPr="00DC4E2E">
        <w:rPr>
          <w:rFonts w:cs="Arial"/>
          <w:lang w:eastAsia="en-GB"/>
        </w:rPr>
        <w:t>The proposal would result in unacceptable overlooking of the garden for future occupiers and introduce an insufficient living/dining/kitchen area, along with poor outlook/daylight/sunlight to the ground floor habitable room, causing an oppressive sense of enclosure and a poor standard of internal/external amenity, contrary to Local Plan Policy DMHB18 and NPPF paragraph 135(f).</w:t>
      </w:r>
      <w:r w:rsidR="00CD21DD" w:rsidRPr="0075506C">
        <w:rPr>
          <w:rFonts w:cs="Arial"/>
          <w:lang w:eastAsia="en-GB"/>
        </w:rPr>
        <w:br/>
      </w:r>
    </w:p>
    <w:p w14:paraId="5C3132C7" w14:textId="2A39D58B" w:rsidR="00A12FAD" w:rsidRPr="0075506C" w:rsidRDefault="00A12FAD" w:rsidP="00A12FAD">
      <w:pPr>
        <w:tabs>
          <w:tab w:val="left" w:pos="567"/>
        </w:tabs>
        <w:autoSpaceDE w:val="0"/>
        <w:autoSpaceDN w:val="0"/>
        <w:adjustRightInd w:val="0"/>
        <w:ind w:left="567" w:hanging="567"/>
        <w:rPr>
          <w:rFonts w:cs="Arial"/>
          <w:highlight w:val="yellow"/>
          <w:lang w:eastAsia="en-GB"/>
        </w:rPr>
      </w:pPr>
      <w:r w:rsidRPr="0075506C">
        <w:rPr>
          <w:rFonts w:cs="Arial"/>
          <w:lang w:eastAsia="en-GB"/>
        </w:rPr>
        <w:t xml:space="preserve">1.3 </w:t>
      </w:r>
      <w:r w:rsidRPr="0075506C">
        <w:rPr>
          <w:rFonts w:cs="Arial"/>
          <w:lang w:eastAsia="en-GB"/>
        </w:rPr>
        <w:tab/>
      </w:r>
      <w:r w:rsidR="00DC4E2E" w:rsidRPr="00DC4E2E">
        <w:rPr>
          <w:rFonts w:cs="Arial"/>
          <w:lang w:eastAsia="en-GB"/>
        </w:rPr>
        <w:t xml:space="preserve">The Council’s case is set out in the Planning Officer’s delegated report, which should be read in conjunction with this statement.  Appendix 1 contains a list of recommended conditions, should the Inspector be minded </w:t>
      </w:r>
      <w:proofErr w:type="gramStart"/>
      <w:r w:rsidR="00DC4E2E" w:rsidRPr="00DC4E2E">
        <w:rPr>
          <w:rFonts w:cs="Arial"/>
          <w:lang w:eastAsia="en-GB"/>
        </w:rPr>
        <w:t>to allow</w:t>
      </w:r>
      <w:proofErr w:type="gramEnd"/>
      <w:r w:rsidR="00DC4E2E" w:rsidRPr="00DC4E2E">
        <w:rPr>
          <w:rFonts w:cs="Arial"/>
          <w:lang w:eastAsia="en-GB"/>
        </w:rPr>
        <w:t xml:space="preserve"> the appeal.</w:t>
      </w:r>
    </w:p>
    <w:p w14:paraId="6675EC3C" w14:textId="77777777" w:rsidR="00A12FAD" w:rsidRPr="0075506C" w:rsidRDefault="00A12FAD" w:rsidP="00A12FAD">
      <w:pPr>
        <w:tabs>
          <w:tab w:val="left" w:pos="567"/>
        </w:tabs>
        <w:autoSpaceDE w:val="0"/>
        <w:autoSpaceDN w:val="0"/>
        <w:adjustRightInd w:val="0"/>
        <w:ind w:left="567" w:hanging="567"/>
        <w:rPr>
          <w:rFonts w:cs="Arial"/>
          <w:highlight w:val="yellow"/>
          <w:lang w:eastAsia="en-GB"/>
        </w:rPr>
      </w:pPr>
    </w:p>
    <w:p w14:paraId="54F4A1DF" w14:textId="77777777" w:rsidR="00A12FAD" w:rsidRPr="0075506C" w:rsidRDefault="00A12FAD" w:rsidP="00A12FAD">
      <w:pPr>
        <w:tabs>
          <w:tab w:val="left" w:pos="567"/>
        </w:tabs>
        <w:autoSpaceDE w:val="0"/>
        <w:autoSpaceDN w:val="0"/>
        <w:adjustRightInd w:val="0"/>
        <w:ind w:left="567" w:hanging="567"/>
        <w:rPr>
          <w:rFonts w:cs="Arial"/>
          <w:lang w:eastAsia="en-GB"/>
        </w:rPr>
      </w:pPr>
      <w:r w:rsidRPr="0075506C">
        <w:rPr>
          <w:rFonts w:cs="Arial"/>
          <w:lang w:eastAsia="en-GB"/>
        </w:rPr>
        <w:t>1.4</w:t>
      </w:r>
      <w:r w:rsidRPr="0075506C">
        <w:rPr>
          <w:rFonts w:cs="Arial"/>
          <w:lang w:eastAsia="en-GB"/>
        </w:rPr>
        <w:tab/>
        <w:t>This statement will</w:t>
      </w:r>
      <w:r w:rsidR="005B3CE2" w:rsidRPr="0075506C">
        <w:rPr>
          <w:rFonts w:cs="Arial"/>
          <w:lang w:eastAsia="en-GB"/>
        </w:rPr>
        <w:t xml:space="preserve"> not repeat the </w:t>
      </w:r>
      <w:r w:rsidR="00C76C55" w:rsidRPr="0075506C">
        <w:rPr>
          <w:rFonts w:cs="Arial"/>
          <w:lang w:eastAsia="en-GB"/>
        </w:rPr>
        <w:t>d</w:t>
      </w:r>
      <w:r w:rsidR="005B3CE2" w:rsidRPr="0075506C">
        <w:rPr>
          <w:rFonts w:cs="Arial"/>
          <w:lang w:eastAsia="en-GB"/>
        </w:rPr>
        <w:t xml:space="preserve">elegated </w:t>
      </w:r>
      <w:r w:rsidR="00C76C55" w:rsidRPr="0075506C">
        <w:rPr>
          <w:rFonts w:cs="Arial"/>
          <w:lang w:eastAsia="en-GB"/>
        </w:rPr>
        <w:t>r</w:t>
      </w:r>
      <w:r w:rsidR="005B3CE2" w:rsidRPr="0075506C">
        <w:rPr>
          <w:rFonts w:cs="Arial"/>
          <w:lang w:eastAsia="en-GB"/>
        </w:rPr>
        <w:t>eport and will</w:t>
      </w:r>
      <w:r w:rsidRPr="0075506C">
        <w:rPr>
          <w:rFonts w:cs="Arial"/>
          <w:lang w:eastAsia="en-GB"/>
        </w:rPr>
        <w:t xml:space="preserve"> focus on addressing matters raised in the Appellant’s statement of case</w:t>
      </w:r>
      <w:r w:rsidR="00A701BD" w:rsidRPr="0075506C">
        <w:rPr>
          <w:rFonts w:cs="Arial"/>
          <w:lang w:eastAsia="en-GB"/>
        </w:rPr>
        <w:t>.</w:t>
      </w:r>
    </w:p>
    <w:p w14:paraId="48BB6615" w14:textId="77777777" w:rsidR="00A12FAD" w:rsidRPr="0075506C" w:rsidRDefault="00A12FAD" w:rsidP="00CD21DD">
      <w:pPr>
        <w:tabs>
          <w:tab w:val="left" w:pos="567"/>
        </w:tabs>
        <w:autoSpaceDE w:val="0"/>
        <w:autoSpaceDN w:val="0"/>
        <w:adjustRightInd w:val="0"/>
        <w:rPr>
          <w:rFonts w:cs="Arial"/>
          <w:lang w:eastAsia="en-GB"/>
        </w:rPr>
      </w:pPr>
    </w:p>
    <w:p w14:paraId="5847FC4F" w14:textId="77777777" w:rsidR="00A12FAD" w:rsidRPr="0075506C" w:rsidRDefault="00A12FAD" w:rsidP="00A12FAD">
      <w:pPr>
        <w:tabs>
          <w:tab w:val="left" w:pos="567"/>
          <w:tab w:val="left" w:pos="3765"/>
        </w:tabs>
        <w:rPr>
          <w:rFonts w:cs="Arial"/>
          <w:b/>
          <w:bCs/>
          <w:sz w:val="32"/>
          <w:szCs w:val="32"/>
          <w:lang w:eastAsia="en-GB"/>
        </w:rPr>
      </w:pPr>
      <w:r w:rsidRPr="0075506C">
        <w:rPr>
          <w:rFonts w:cs="Arial"/>
          <w:b/>
          <w:bCs/>
          <w:sz w:val="32"/>
          <w:szCs w:val="32"/>
          <w:lang w:eastAsia="en-GB"/>
        </w:rPr>
        <w:t>2.</w:t>
      </w:r>
      <w:r w:rsidRPr="0075506C">
        <w:rPr>
          <w:rFonts w:cs="Arial"/>
          <w:b/>
          <w:bCs/>
          <w:sz w:val="32"/>
          <w:szCs w:val="32"/>
          <w:lang w:eastAsia="en-GB"/>
        </w:rPr>
        <w:tab/>
      </w:r>
      <w:r w:rsidR="005B3CE2" w:rsidRPr="0075506C">
        <w:rPr>
          <w:rFonts w:cs="Arial"/>
          <w:b/>
          <w:bCs/>
          <w:sz w:val="32"/>
          <w:szCs w:val="32"/>
          <w:lang w:eastAsia="en-GB"/>
        </w:rPr>
        <w:t xml:space="preserve">LPA </w:t>
      </w:r>
      <w:r w:rsidRPr="0075506C">
        <w:rPr>
          <w:rFonts w:cs="Arial"/>
          <w:b/>
          <w:bCs/>
          <w:sz w:val="32"/>
          <w:szCs w:val="32"/>
          <w:lang w:eastAsia="en-GB"/>
        </w:rPr>
        <w:t xml:space="preserve">Comments on Appellant’s Statement </w:t>
      </w:r>
      <w:r w:rsidR="00A6402D" w:rsidRPr="0075506C">
        <w:rPr>
          <w:rFonts w:cs="Arial"/>
          <w:b/>
          <w:bCs/>
          <w:sz w:val="32"/>
          <w:szCs w:val="32"/>
          <w:lang w:eastAsia="en-GB"/>
        </w:rPr>
        <w:t>of Case</w:t>
      </w:r>
    </w:p>
    <w:p w14:paraId="5CA743E1" w14:textId="77777777" w:rsidR="00A12FAD" w:rsidRPr="0075506C" w:rsidRDefault="00A12FAD" w:rsidP="00A12FAD">
      <w:pPr>
        <w:tabs>
          <w:tab w:val="left" w:pos="567"/>
          <w:tab w:val="left" w:pos="3765"/>
        </w:tabs>
        <w:rPr>
          <w:rFonts w:cs="Arial"/>
          <w:b/>
          <w:bCs/>
          <w:lang w:eastAsia="en-GB"/>
        </w:rPr>
      </w:pPr>
    </w:p>
    <w:p w14:paraId="17E3FF22" w14:textId="77777777" w:rsidR="00A701BD" w:rsidRPr="0075506C" w:rsidRDefault="005B3CE2" w:rsidP="00A701BD">
      <w:pPr>
        <w:tabs>
          <w:tab w:val="left" w:pos="567"/>
          <w:tab w:val="left" w:pos="3765"/>
        </w:tabs>
        <w:ind w:left="567" w:hanging="567"/>
        <w:rPr>
          <w:rFonts w:cs="Arial"/>
          <w:lang w:eastAsia="en-GB"/>
        </w:rPr>
      </w:pPr>
      <w:r w:rsidRPr="0075506C">
        <w:rPr>
          <w:rFonts w:cs="Arial"/>
          <w:lang w:eastAsia="en-GB"/>
        </w:rPr>
        <w:t>2.1</w:t>
      </w:r>
      <w:r w:rsidRPr="0075506C">
        <w:rPr>
          <w:rFonts w:cs="Arial"/>
          <w:lang w:eastAsia="en-GB"/>
        </w:rPr>
        <w:tab/>
      </w:r>
      <w:r w:rsidR="00A701BD" w:rsidRPr="0075506C">
        <w:rPr>
          <w:rFonts w:cs="Arial"/>
          <w:lang w:eastAsia="en-GB"/>
        </w:rPr>
        <w:t>Within their statement of case the appellant has raised the following summarised points:</w:t>
      </w:r>
    </w:p>
    <w:p w14:paraId="20BF8083" w14:textId="77777777" w:rsidR="00A701BD" w:rsidRPr="0075506C" w:rsidRDefault="00A701BD" w:rsidP="00A701BD">
      <w:pPr>
        <w:tabs>
          <w:tab w:val="left" w:pos="567"/>
          <w:tab w:val="left" w:pos="3765"/>
        </w:tabs>
        <w:ind w:left="567" w:hanging="567"/>
        <w:rPr>
          <w:rFonts w:cs="Arial"/>
          <w:lang w:eastAsia="en-GB"/>
        </w:rPr>
      </w:pPr>
    </w:p>
    <w:p w14:paraId="14455116" w14:textId="1D39E334" w:rsidR="00DC4E2E" w:rsidRPr="004C5AB4" w:rsidRDefault="00DC4E2E" w:rsidP="00FF5C25">
      <w:pPr>
        <w:pStyle w:val="ListParagraph"/>
        <w:numPr>
          <w:ilvl w:val="0"/>
          <w:numId w:val="32"/>
        </w:numPr>
        <w:tabs>
          <w:tab w:val="left" w:pos="567"/>
          <w:tab w:val="left" w:pos="3765"/>
        </w:tabs>
        <w:spacing w:line="276" w:lineRule="auto"/>
        <w:rPr>
          <w:rFonts w:cs="Arial"/>
          <w:lang w:eastAsia="en-GB"/>
        </w:rPr>
      </w:pPr>
      <w:r w:rsidRPr="004C5AB4">
        <w:rPr>
          <w:rFonts w:cs="Arial"/>
          <w:lang w:eastAsia="en-GB"/>
        </w:rPr>
        <w:t xml:space="preserve">The proposal would not appear cramped or uncharacteristic because the corner location and surrounding area are varied and plot coverage is said to be acceptable (~33%). </w:t>
      </w:r>
      <w:r w:rsidR="004C5AB4">
        <w:rPr>
          <w:rFonts w:cs="Arial"/>
          <w:lang w:eastAsia="en-GB"/>
        </w:rPr>
        <w:t>The proposed</w:t>
      </w:r>
      <w:r w:rsidRPr="004C5AB4">
        <w:rPr>
          <w:rFonts w:cs="Arial"/>
          <w:lang w:eastAsia="en-GB"/>
        </w:rPr>
        <w:t xml:space="preserve"> partly sunken/lower ground floor is said to reduce perceived height/bulk and basements are described as conventional; the lightwell would not harm visual amenity.</w:t>
      </w:r>
    </w:p>
    <w:p w14:paraId="42447AC8" w14:textId="5F046FC3" w:rsidR="00DC4E2E" w:rsidRPr="00DC4E2E" w:rsidRDefault="00DC4E2E" w:rsidP="00DC4E2E">
      <w:pPr>
        <w:pStyle w:val="ListParagraph"/>
        <w:numPr>
          <w:ilvl w:val="0"/>
          <w:numId w:val="32"/>
        </w:numPr>
        <w:tabs>
          <w:tab w:val="left" w:pos="567"/>
          <w:tab w:val="left" w:pos="3765"/>
        </w:tabs>
        <w:spacing w:line="276" w:lineRule="auto"/>
        <w:rPr>
          <w:rFonts w:cs="Arial"/>
          <w:lang w:eastAsia="en-GB"/>
        </w:rPr>
      </w:pPr>
      <w:r w:rsidRPr="00DC4E2E">
        <w:rPr>
          <w:rFonts w:cs="Arial"/>
          <w:lang w:eastAsia="en-GB"/>
        </w:rPr>
        <w:lastRenderedPageBreak/>
        <w:t>The appellant accepts the scheme does not achieve full M4(2) compliance but argues this is justified by site constraints and design objectives and could be adapted with lifts.</w:t>
      </w:r>
    </w:p>
    <w:p w14:paraId="58271090" w14:textId="484086A6" w:rsidR="00DC4E2E" w:rsidRPr="00DC4E2E" w:rsidRDefault="00DC4E2E" w:rsidP="00DC4E2E">
      <w:pPr>
        <w:pStyle w:val="ListParagraph"/>
        <w:numPr>
          <w:ilvl w:val="0"/>
          <w:numId w:val="32"/>
        </w:numPr>
        <w:tabs>
          <w:tab w:val="left" w:pos="567"/>
          <w:tab w:val="left" w:pos="3765"/>
        </w:tabs>
        <w:spacing w:line="276" w:lineRule="auto"/>
        <w:rPr>
          <w:rFonts w:cs="Arial"/>
          <w:lang w:eastAsia="en-GB"/>
        </w:rPr>
      </w:pPr>
      <w:r w:rsidRPr="00DC4E2E">
        <w:rPr>
          <w:rFonts w:cs="Arial"/>
          <w:lang w:eastAsia="en-GB"/>
        </w:rPr>
        <w:t>Highways: the appellant asserts two spaces for the new unit are within maximum standards and relies on a parking stress survey; the access is said to be lawful and capable of serving the development.</w:t>
      </w:r>
    </w:p>
    <w:p w14:paraId="43C47888" w14:textId="6DB35035" w:rsidR="009F62C7" w:rsidRPr="00CA1917" w:rsidRDefault="00DC4E2E" w:rsidP="00DC4E2E">
      <w:pPr>
        <w:pStyle w:val="ListParagraph"/>
        <w:numPr>
          <w:ilvl w:val="0"/>
          <w:numId w:val="32"/>
        </w:numPr>
        <w:tabs>
          <w:tab w:val="left" w:pos="567"/>
          <w:tab w:val="left" w:pos="3765"/>
        </w:tabs>
        <w:spacing w:line="276" w:lineRule="auto"/>
        <w:rPr>
          <w:rFonts w:cs="Arial"/>
          <w:lang w:eastAsia="en-GB"/>
        </w:rPr>
      </w:pPr>
      <w:r w:rsidRPr="00DC4E2E">
        <w:rPr>
          <w:rFonts w:cs="Arial"/>
          <w:lang w:eastAsia="en-GB"/>
        </w:rPr>
        <w:t>Residential quality: the appellant points to a total internal area of ~60sqm, claims acceptable living conditions, and suggests overlooking could be mitigated by conditions (e.g. obscured glazing).</w:t>
      </w:r>
      <w:r w:rsidR="00566FDB" w:rsidRPr="00CA1917">
        <w:rPr>
          <w:rFonts w:cs="Arial"/>
          <w:lang w:eastAsia="en-GB"/>
        </w:rPr>
        <w:br/>
      </w:r>
    </w:p>
    <w:p w14:paraId="4188B6F5" w14:textId="61F59EEA" w:rsidR="007922D0" w:rsidRPr="0075506C" w:rsidRDefault="00182B4B" w:rsidP="00182B4B">
      <w:pPr>
        <w:tabs>
          <w:tab w:val="left" w:pos="567"/>
          <w:tab w:val="left" w:pos="3765"/>
        </w:tabs>
        <w:spacing w:line="276" w:lineRule="auto"/>
        <w:ind w:left="567" w:hanging="567"/>
        <w:rPr>
          <w:rFonts w:cs="Arial"/>
          <w:lang w:eastAsia="en-GB"/>
        </w:rPr>
      </w:pPr>
      <w:r>
        <w:rPr>
          <w:rFonts w:cs="Arial"/>
          <w:lang w:eastAsia="en-GB"/>
        </w:rPr>
        <w:t>2.2</w:t>
      </w:r>
      <w:r>
        <w:rPr>
          <w:rFonts w:cs="Arial"/>
          <w:lang w:eastAsia="en-GB"/>
        </w:rPr>
        <w:tab/>
      </w:r>
      <w:r w:rsidR="00266737" w:rsidRPr="0075506C">
        <w:rPr>
          <w:rFonts w:cs="Arial"/>
          <w:lang w:eastAsia="en-GB"/>
        </w:rPr>
        <w:t xml:space="preserve">Taking into consideration these points the appellant believes the proposed scheme to be acceptable. The LPA’s responses are set out below. </w:t>
      </w:r>
      <w:r w:rsidR="00D473A5" w:rsidRPr="0075506C">
        <w:rPr>
          <w:rFonts w:cs="Arial"/>
          <w:lang w:eastAsia="en-GB"/>
        </w:rPr>
        <w:br/>
      </w:r>
    </w:p>
    <w:p w14:paraId="5CCD3869" w14:textId="6FF67D68" w:rsidR="006C4CF8" w:rsidRPr="0075506C" w:rsidRDefault="00DC4E2E" w:rsidP="006C4CF8">
      <w:pPr>
        <w:tabs>
          <w:tab w:val="left" w:pos="567"/>
          <w:tab w:val="left" w:pos="2460"/>
        </w:tabs>
        <w:spacing w:line="276" w:lineRule="auto"/>
        <w:rPr>
          <w:rFonts w:cs="Arial"/>
          <w:i/>
          <w:iCs/>
          <w:lang w:eastAsia="en-GB"/>
        </w:rPr>
      </w:pPr>
      <w:r w:rsidRPr="00DC4E2E">
        <w:rPr>
          <w:rFonts w:cs="Arial"/>
          <w:i/>
          <w:iCs/>
          <w:lang w:eastAsia="en-GB"/>
        </w:rPr>
        <w:t>Cramped and Uncharacteristic Garden Development</w:t>
      </w:r>
      <w:r w:rsidR="00282217" w:rsidRPr="0075506C">
        <w:rPr>
          <w:rFonts w:cs="Arial"/>
          <w:i/>
          <w:iCs/>
          <w:lang w:eastAsia="en-GB"/>
        </w:rPr>
        <w:br/>
      </w:r>
    </w:p>
    <w:p w14:paraId="5DA6D813" w14:textId="77777777" w:rsidR="00484440" w:rsidRPr="00484440" w:rsidRDefault="006C4CF8" w:rsidP="00484440">
      <w:pPr>
        <w:tabs>
          <w:tab w:val="left" w:pos="567"/>
          <w:tab w:val="left" w:pos="3765"/>
        </w:tabs>
        <w:ind w:left="567" w:hanging="567"/>
        <w:rPr>
          <w:rFonts w:cs="Arial"/>
        </w:rPr>
      </w:pPr>
      <w:r w:rsidRPr="0075506C">
        <w:rPr>
          <w:rFonts w:cs="Arial"/>
          <w:lang w:eastAsia="en-GB"/>
        </w:rPr>
        <w:t>2.</w:t>
      </w:r>
      <w:r w:rsidR="00182B4B">
        <w:rPr>
          <w:rFonts w:cs="Arial"/>
          <w:lang w:eastAsia="en-GB"/>
        </w:rPr>
        <w:t>3</w:t>
      </w:r>
      <w:r w:rsidRPr="0075506C">
        <w:rPr>
          <w:rFonts w:cs="Arial"/>
          <w:lang w:eastAsia="en-GB"/>
        </w:rPr>
        <w:tab/>
      </w:r>
      <w:r w:rsidR="00484440" w:rsidRPr="00484440">
        <w:rPr>
          <w:rFonts w:cs="Arial"/>
        </w:rPr>
        <w:t>The appellant’s case is that the proposal would not appear cramped or uncharacteristic because the site occupies a corner plot and because the surrounding area displays a degree of variety in plot size, orientation and building form. They also place weight on the fact that the proposal is described as modest and that plot coverage is said to be approximately 33%.</w:t>
      </w:r>
    </w:p>
    <w:p w14:paraId="5134BD94" w14:textId="463ED03E" w:rsidR="00895ACB" w:rsidRPr="0075506C" w:rsidRDefault="00895ACB" w:rsidP="00B731F3">
      <w:pPr>
        <w:tabs>
          <w:tab w:val="left" w:pos="567"/>
          <w:tab w:val="left" w:pos="3765"/>
        </w:tabs>
        <w:ind w:left="567" w:hanging="567"/>
        <w:rPr>
          <w:rFonts w:cs="Arial"/>
          <w:lang w:eastAsia="en-GB"/>
        </w:rPr>
      </w:pPr>
    </w:p>
    <w:p w14:paraId="652779B1" w14:textId="402C172F" w:rsidR="00895ACB" w:rsidRPr="0075506C" w:rsidRDefault="00895ACB" w:rsidP="00AF4ACE">
      <w:pPr>
        <w:tabs>
          <w:tab w:val="left" w:pos="567"/>
          <w:tab w:val="left" w:pos="3765"/>
        </w:tabs>
        <w:ind w:left="567" w:hanging="567"/>
        <w:rPr>
          <w:rFonts w:cs="Arial"/>
        </w:rPr>
      </w:pPr>
      <w:r w:rsidRPr="0075506C">
        <w:rPr>
          <w:rFonts w:cs="Arial"/>
          <w:lang w:eastAsia="en-GB"/>
        </w:rPr>
        <w:t>2.</w:t>
      </w:r>
      <w:r w:rsidR="00182B4B">
        <w:rPr>
          <w:rFonts w:cs="Arial"/>
          <w:lang w:eastAsia="en-GB"/>
        </w:rPr>
        <w:t>4</w:t>
      </w:r>
      <w:r w:rsidRPr="0075506C">
        <w:rPr>
          <w:rFonts w:cs="Arial"/>
          <w:lang w:eastAsia="en-GB"/>
        </w:rPr>
        <w:tab/>
      </w:r>
      <w:r w:rsidR="00484440" w:rsidRPr="00484440">
        <w:rPr>
          <w:rFonts w:cs="Arial"/>
        </w:rPr>
        <w:t>The Council accepts that the area is not architecturally uniform. However, the planning concern is not one of stylistic variation, but of spatial character. At this corner location, the prevailing character is defined by openness, generous garden space and wide plot frontages, which contribute positively to the Garden City Area of Special Local Character</w:t>
      </w:r>
      <w:r w:rsidR="00CD633A">
        <w:rPr>
          <w:rFonts w:cs="Arial"/>
        </w:rPr>
        <w:t xml:space="preserve"> (ALSC)</w:t>
      </w:r>
      <w:r w:rsidR="00484440" w:rsidRPr="00484440">
        <w:rPr>
          <w:rFonts w:cs="Arial"/>
        </w:rPr>
        <w:t>. The appeal proposal introduces an additional, independent dwelling into garden land in a manner that alters that spatial character, regardless of the architectural detailing adopted.</w:t>
      </w:r>
    </w:p>
    <w:p w14:paraId="6D1E0629" w14:textId="77777777" w:rsidR="00A54A97" w:rsidRPr="0075506C" w:rsidRDefault="00A54A97" w:rsidP="00AF4ACE">
      <w:pPr>
        <w:tabs>
          <w:tab w:val="left" w:pos="567"/>
          <w:tab w:val="left" w:pos="3765"/>
        </w:tabs>
        <w:ind w:left="567" w:hanging="567"/>
        <w:rPr>
          <w:rFonts w:cs="Arial"/>
        </w:rPr>
      </w:pPr>
    </w:p>
    <w:p w14:paraId="56AD720A" w14:textId="4D8705BD" w:rsidR="00971EAB" w:rsidRPr="0075506C" w:rsidRDefault="00A54A97" w:rsidP="00BB2BF2">
      <w:pPr>
        <w:tabs>
          <w:tab w:val="left" w:pos="567"/>
          <w:tab w:val="left" w:pos="3765"/>
        </w:tabs>
        <w:ind w:left="567" w:hanging="567"/>
        <w:rPr>
          <w:rFonts w:cs="Arial"/>
        </w:rPr>
      </w:pPr>
      <w:r w:rsidRPr="0075506C">
        <w:rPr>
          <w:rFonts w:cs="Arial"/>
        </w:rPr>
        <w:t>2.</w:t>
      </w:r>
      <w:r w:rsidR="00182B4B">
        <w:rPr>
          <w:rFonts w:cs="Arial"/>
        </w:rPr>
        <w:t>5</w:t>
      </w:r>
      <w:r w:rsidRPr="0075506C">
        <w:rPr>
          <w:rFonts w:cs="Arial"/>
        </w:rPr>
        <w:t xml:space="preserve">   </w:t>
      </w:r>
      <w:r w:rsidR="00484440" w:rsidRPr="00484440">
        <w:rPr>
          <w:rFonts w:cs="Arial"/>
        </w:rPr>
        <w:t>While the appellant refers to plot coverage as an indicator that the scheme is not over</w:t>
      </w:r>
      <w:r w:rsidR="00484440" w:rsidRPr="00484440">
        <w:rPr>
          <w:rFonts w:ascii="Cambria Math" w:hAnsi="Cambria Math" w:cs="Cambria Math"/>
        </w:rPr>
        <w:t>‑</w:t>
      </w:r>
      <w:r w:rsidR="00484440" w:rsidRPr="00484440">
        <w:rPr>
          <w:rFonts w:cs="Arial"/>
        </w:rPr>
        <w:t>development, the Council considers that coverage alone does not determine whether development appears cramped</w:t>
      </w:r>
      <w:r w:rsidR="00484440">
        <w:rPr>
          <w:rFonts w:cs="Arial"/>
        </w:rPr>
        <w:t xml:space="preserve"> and that the coverage figure should </w:t>
      </w:r>
      <w:r w:rsidR="00AA65E0">
        <w:rPr>
          <w:rFonts w:cs="Arial"/>
        </w:rPr>
        <w:t xml:space="preserve">also </w:t>
      </w:r>
      <w:r w:rsidR="00484440">
        <w:rPr>
          <w:rFonts w:cs="Arial"/>
        </w:rPr>
        <w:t>be viewed in comparison to those of the other neighbouring properties</w:t>
      </w:r>
      <w:r w:rsidR="00CD633A">
        <w:rPr>
          <w:rFonts w:cs="Arial"/>
        </w:rPr>
        <w:t xml:space="preserve"> within the ASLC</w:t>
      </w:r>
      <w:r w:rsidR="00484440" w:rsidRPr="00484440">
        <w:rPr>
          <w:rFonts w:cs="Arial"/>
        </w:rPr>
        <w:t>. In this instance, the sense of overdevelopment arises from the subdivision of the plot, the creation of a narrow</w:t>
      </w:r>
      <w:r w:rsidR="00484440" w:rsidRPr="00484440">
        <w:rPr>
          <w:rFonts w:ascii="Cambria Math" w:hAnsi="Cambria Math" w:cs="Cambria Math"/>
        </w:rPr>
        <w:t>‑</w:t>
      </w:r>
      <w:r w:rsidR="00484440" w:rsidRPr="00484440">
        <w:rPr>
          <w:rFonts w:cs="Arial"/>
        </w:rPr>
        <w:t>fronted dwelling, and the tight spatial relationship between the proposed dwelling, site boundaries and the existing house. These elements combine to give the impression of a constrained form of development, rather than one that reflects the established layout of the area.</w:t>
      </w:r>
      <w:r w:rsidR="00FC5DC8">
        <w:rPr>
          <w:rFonts w:cs="Arial"/>
        </w:rPr>
        <w:br/>
      </w:r>
    </w:p>
    <w:p w14:paraId="56AF5706" w14:textId="1A83F44F" w:rsidR="001A4E2D" w:rsidRDefault="00A2195A" w:rsidP="001A4E2D">
      <w:pPr>
        <w:tabs>
          <w:tab w:val="left" w:pos="567"/>
          <w:tab w:val="left" w:pos="3765"/>
        </w:tabs>
        <w:ind w:left="567" w:hanging="567"/>
        <w:rPr>
          <w:rFonts w:cs="Arial"/>
        </w:rPr>
      </w:pPr>
      <w:r w:rsidRPr="0075506C">
        <w:rPr>
          <w:rFonts w:cs="Arial"/>
        </w:rPr>
        <w:t>2.</w:t>
      </w:r>
      <w:r w:rsidR="00182B4B">
        <w:rPr>
          <w:rFonts w:cs="Arial"/>
        </w:rPr>
        <w:t>6</w:t>
      </w:r>
      <w:r w:rsidRPr="0075506C">
        <w:rPr>
          <w:rFonts w:cs="Arial"/>
        </w:rPr>
        <w:t xml:space="preserve">   </w:t>
      </w:r>
      <w:r w:rsidR="00484440" w:rsidRPr="00484440">
        <w:rPr>
          <w:rFonts w:cs="Arial"/>
        </w:rPr>
        <w:t>In relation to the partly sunken design, the appellant argues that this is a conventional solution that reduces visual bulk. However, in this case the approach introduces visible street</w:t>
      </w:r>
      <w:r w:rsidR="00484440" w:rsidRPr="00484440">
        <w:rPr>
          <w:rFonts w:ascii="Cambria Math" w:hAnsi="Cambria Math" w:cs="Cambria Math"/>
        </w:rPr>
        <w:t>‑</w:t>
      </w:r>
      <w:r w:rsidR="00484440" w:rsidRPr="00484440">
        <w:rPr>
          <w:rFonts w:cs="Arial"/>
        </w:rPr>
        <w:t>facing elements, including the lightwell and lower</w:t>
      </w:r>
      <w:r w:rsidR="00484440" w:rsidRPr="00484440">
        <w:rPr>
          <w:rFonts w:ascii="Cambria Math" w:hAnsi="Cambria Math" w:cs="Cambria Math"/>
        </w:rPr>
        <w:t>‑</w:t>
      </w:r>
      <w:r w:rsidR="00484440" w:rsidRPr="00484440">
        <w:rPr>
          <w:rFonts w:cs="Arial"/>
        </w:rPr>
        <w:t>ground presentation, which contribute to an awkward frontage and do not reflect the prevailing character of development in this part of the Garden City area. The design solution</w:t>
      </w:r>
      <w:r w:rsidR="00484440">
        <w:rPr>
          <w:rFonts w:cs="Arial"/>
        </w:rPr>
        <w:t xml:space="preserve"> </w:t>
      </w:r>
      <w:r w:rsidR="00484440" w:rsidRPr="00484440">
        <w:rPr>
          <w:rFonts w:cs="Arial"/>
        </w:rPr>
        <w:t>therefore introduce</w:t>
      </w:r>
      <w:r w:rsidR="00484440">
        <w:rPr>
          <w:rFonts w:cs="Arial"/>
        </w:rPr>
        <w:t>s</w:t>
      </w:r>
      <w:r w:rsidR="00484440" w:rsidRPr="00484440">
        <w:rPr>
          <w:rFonts w:cs="Arial"/>
        </w:rPr>
        <w:t xml:space="preserve"> a different and uncharacteristic expression.</w:t>
      </w:r>
    </w:p>
    <w:p w14:paraId="267A27E3" w14:textId="77777777" w:rsidR="002060B4" w:rsidRDefault="002060B4" w:rsidP="001A4E2D">
      <w:pPr>
        <w:tabs>
          <w:tab w:val="left" w:pos="567"/>
          <w:tab w:val="left" w:pos="3765"/>
        </w:tabs>
        <w:ind w:left="567" w:hanging="567"/>
        <w:rPr>
          <w:rFonts w:cs="Arial"/>
        </w:rPr>
      </w:pPr>
    </w:p>
    <w:p w14:paraId="09BBA6D4" w14:textId="77777777" w:rsidR="00484440" w:rsidRPr="00484440" w:rsidRDefault="002060B4" w:rsidP="00484440">
      <w:pPr>
        <w:tabs>
          <w:tab w:val="left" w:pos="567"/>
          <w:tab w:val="left" w:pos="3765"/>
        </w:tabs>
        <w:ind w:left="567" w:hanging="567"/>
        <w:rPr>
          <w:rFonts w:cs="Arial"/>
        </w:rPr>
      </w:pPr>
      <w:r w:rsidRPr="0075506C">
        <w:rPr>
          <w:rFonts w:cs="Arial"/>
        </w:rPr>
        <w:t>2</w:t>
      </w:r>
      <w:r w:rsidR="00182B4B">
        <w:rPr>
          <w:rFonts w:cs="Arial"/>
        </w:rPr>
        <w:t>.7</w:t>
      </w:r>
      <w:r w:rsidRPr="0075506C">
        <w:rPr>
          <w:rFonts w:cs="Arial"/>
        </w:rPr>
        <w:t xml:space="preserve">   </w:t>
      </w:r>
      <w:r w:rsidR="00484440" w:rsidRPr="00484440">
        <w:rPr>
          <w:rFonts w:cs="Arial"/>
        </w:rPr>
        <w:t xml:space="preserve">For these reasons, the Council considers that the appellant has not demonstrated that the proposal would integrate comfortably with the established spatial character of </w:t>
      </w:r>
      <w:r w:rsidR="00484440" w:rsidRPr="00484440">
        <w:rPr>
          <w:rFonts w:cs="Arial"/>
        </w:rPr>
        <w:lastRenderedPageBreak/>
        <w:t>the area, and the development would therefore remain a cramped and uncharacteristic form of garden development.</w:t>
      </w:r>
    </w:p>
    <w:p w14:paraId="6422AF22" w14:textId="7EFBC8A9" w:rsidR="003F554B" w:rsidRDefault="003F554B" w:rsidP="00484440">
      <w:pPr>
        <w:tabs>
          <w:tab w:val="left" w:pos="567"/>
          <w:tab w:val="left" w:pos="3765"/>
        </w:tabs>
        <w:ind w:left="567" w:hanging="567"/>
        <w:rPr>
          <w:rFonts w:cs="Arial"/>
        </w:rPr>
      </w:pPr>
    </w:p>
    <w:p w14:paraId="1CE9DBF9" w14:textId="26BF7F74" w:rsidR="00DE5B23" w:rsidRDefault="00182B4B" w:rsidP="00DE5B23">
      <w:pPr>
        <w:tabs>
          <w:tab w:val="left" w:pos="567"/>
          <w:tab w:val="left" w:pos="3765"/>
        </w:tabs>
        <w:ind w:left="567" w:hanging="567"/>
        <w:rPr>
          <w:rFonts w:cs="Arial"/>
          <w:i/>
          <w:iCs/>
          <w:lang w:eastAsia="en-GB"/>
        </w:rPr>
      </w:pPr>
      <w:r w:rsidRPr="00182B4B">
        <w:rPr>
          <w:rFonts w:cs="Arial"/>
          <w:i/>
          <w:iCs/>
          <w:lang w:eastAsia="en-GB"/>
        </w:rPr>
        <w:t>Accessible and Adaptable Housing</w:t>
      </w:r>
    </w:p>
    <w:p w14:paraId="7AFD2F2E" w14:textId="77777777" w:rsidR="00182B4B" w:rsidRPr="0075506C" w:rsidRDefault="00182B4B" w:rsidP="00DE5B23">
      <w:pPr>
        <w:tabs>
          <w:tab w:val="left" w:pos="567"/>
          <w:tab w:val="left" w:pos="3765"/>
        </w:tabs>
        <w:ind w:left="567" w:hanging="567"/>
        <w:rPr>
          <w:rFonts w:cs="Arial"/>
        </w:rPr>
      </w:pPr>
    </w:p>
    <w:p w14:paraId="0DC89488" w14:textId="03B0D87E" w:rsidR="00484440" w:rsidRDefault="00182B4B" w:rsidP="00484440">
      <w:pPr>
        <w:tabs>
          <w:tab w:val="left" w:pos="567"/>
          <w:tab w:val="left" w:pos="3765"/>
        </w:tabs>
        <w:ind w:left="570" w:hanging="570"/>
        <w:rPr>
          <w:rFonts w:cs="Arial"/>
        </w:rPr>
      </w:pPr>
      <w:r w:rsidRPr="00182B4B">
        <w:rPr>
          <w:rFonts w:cs="Arial"/>
        </w:rPr>
        <w:t>2.</w:t>
      </w:r>
      <w:r w:rsidR="00484440">
        <w:rPr>
          <w:rFonts w:cs="Arial"/>
        </w:rPr>
        <w:t>8</w:t>
      </w:r>
      <w:r w:rsidRPr="00182B4B">
        <w:rPr>
          <w:rFonts w:cs="Arial"/>
        </w:rPr>
        <w:t xml:space="preserve"> </w:t>
      </w:r>
      <w:r>
        <w:rPr>
          <w:rFonts w:cs="Arial"/>
        </w:rPr>
        <w:tab/>
      </w:r>
      <w:r w:rsidR="00484440" w:rsidRPr="00484440">
        <w:rPr>
          <w:rFonts w:cs="Arial"/>
        </w:rPr>
        <w:t>The appellant accepts that the proposed dwelling does not fully meet the requirements of an M4(2) accessible and adaptable home, noting that the split</w:t>
      </w:r>
      <w:r w:rsidR="00484440" w:rsidRPr="00484440">
        <w:rPr>
          <w:rFonts w:cs="Arial"/>
        </w:rPr>
        <w:noBreakHyphen/>
        <w:t>level arrangement prevents step</w:t>
      </w:r>
      <w:r w:rsidR="00484440" w:rsidRPr="00484440">
        <w:rPr>
          <w:rFonts w:cs="Arial"/>
        </w:rPr>
        <w:noBreakHyphen/>
        <w:t>free movement between floors. They argue that this outcome is justified by site constraints and design considerations, and that future adaptation (such as a stairlift or platform lift) may be possible.</w:t>
      </w:r>
    </w:p>
    <w:p w14:paraId="7D6016BD" w14:textId="77777777" w:rsidR="00484440" w:rsidRPr="00484440" w:rsidRDefault="00484440" w:rsidP="00484440">
      <w:pPr>
        <w:tabs>
          <w:tab w:val="left" w:pos="567"/>
          <w:tab w:val="left" w:pos="3765"/>
        </w:tabs>
        <w:ind w:left="570" w:hanging="570"/>
        <w:rPr>
          <w:rFonts w:cs="Arial"/>
        </w:rPr>
      </w:pPr>
    </w:p>
    <w:p w14:paraId="62F6CB51" w14:textId="3D59EE30" w:rsidR="00484440" w:rsidRDefault="00484440" w:rsidP="00484440">
      <w:pPr>
        <w:tabs>
          <w:tab w:val="left" w:pos="567"/>
          <w:tab w:val="left" w:pos="3765"/>
        </w:tabs>
        <w:ind w:left="570" w:hanging="570"/>
        <w:rPr>
          <w:rFonts w:cs="Arial"/>
        </w:rPr>
      </w:pPr>
      <w:r w:rsidRPr="00484440">
        <w:rPr>
          <w:rFonts w:cs="Arial"/>
        </w:rPr>
        <w:t>2.</w:t>
      </w:r>
      <w:r>
        <w:rPr>
          <w:rFonts w:cs="Arial"/>
        </w:rPr>
        <w:t>9</w:t>
      </w:r>
      <w:r>
        <w:rPr>
          <w:rFonts w:cs="Arial"/>
        </w:rPr>
        <w:tab/>
      </w:r>
      <w:r w:rsidRPr="00484440">
        <w:rPr>
          <w:rFonts w:cs="Arial"/>
        </w:rPr>
        <w:t>The Council’s position is that the requirement for M4(2) compliance is an integral part of planning decision</w:t>
      </w:r>
      <w:r w:rsidRPr="00484440">
        <w:rPr>
          <w:rFonts w:cs="Arial"/>
        </w:rPr>
        <w:noBreakHyphen/>
        <w:t>making for new residential development. While future adaptations may be theoretically possible, the policy requirement is for dwellings to be designed from the outset to be accessible and adaptable.</w:t>
      </w:r>
    </w:p>
    <w:p w14:paraId="6376DDC6" w14:textId="77777777" w:rsidR="00484440" w:rsidRPr="00484440" w:rsidRDefault="00484440" w:rsidP="00484440">
      <w:pPr>
        <w:tabs>
          <w:tab w:val="left" w:pos="567"/>
          <w:tab w:val="left" w:pos="3765"/>
        </w:tabs>
        <w:ind w:left="570" w:hanging="570"/>
        <w:rPr>
          <w:rFonts w:cs="Arial"/>
        </w:rPr>
      </w:pPr>
    </w:p>
    <w:p w14:paraId="30E2DF2F" w14:textId="5F55118B" w:rsidR="00484440" w:rsidRDefault="00484440" w:rsidP="00484440">
      <w:pPr>
        <w:tabs>
          <w:tab w:val="left" w:pos="567"/>
          <w:tab w:val="left" w:pos="3765"/>
        </w:tabs>
        <w:ind w:left="570" w:hanging="570"/>
        <w:rPr>
          <w:rFonts w:cs="Arial"/>
        </w:rPr>
      </w:pPr>
      <w:r w:rsidRPr="00484440">
        <w:rPr>
          <w:rFonts w:cs="Arial"/>
        </w:rPr>
        <w:t>2.</w:t>
      </w:r>
      <w:r>
        <w:rPr>
          <w:rFonts w:cs="Arial"/>
        </w:rPr>
        <w:t>10</w:t>
      </w:r>
      <w:r w:rsidRPr="00484440">
        <w:rPr>
          <w:rFonts w:cs="Arial"/>
        </w:rPr>
        <w:t xml:space="preserve"> In this case, the appellant has not demonstrated that the proposed layout can achieve step</w:t>
      </w:r>
      <w:r w:rsidRPr="00484440">
        <w:rPr>
          <w:rFonts w:cs="Arial"/>
        </w:rPr>
        <w:noBreakHyphen/>
        <w:t>free access between principal living areas, which is a fundamental component of M4(2). The reliance on potential future alterations does not provide certainty that the dwelling would function as an accessible and adaptable home over its lifetime.</w:t>
      </w:r>
    </w:p>
    <w:p w14:paraId="0AE1D32D" w14:textId="77777777" w:rsidR="00484440" w:rsidRPr="00484440" w:rsidRDefault="00484440" w:rsidP="00484440">
      <w:pPr>
        <w:tabs>
          <w:tab w:val="left" w:pos="567"/>
          <w:tab w:val="left" w:pos="3765"/>
        </w:tabs>
        <w:ind w:left="570" w:hanging="570"/>
        <w:rPr>
          <w:rFonts w:cs="Arial"/>
        </w:rPr>
      </w:pPr>
    </w:p>
    <w:p w14:paraId="0A98D21D" w14:textId="4718E447" w:rsidR="00484440" w:rsidRPr="00484440" w:rsidRDefault="00484440" w:rsidP="00484440">
      <w:pPr>
        <w:tabs>
          <w:tab w:val="left" w:pos="567"/>
          <w:tab w:val="left" w:pos="3765"/>
        </w:tabs>
        <w:ind w:left="570" w:hanging="570"/>
        <w:rPr>
          <w:rFonts w:cs="Arial"/>
        </w:rPr>
      </w:pPr>
      <w:r w:rsidRPr="00484440">
        <w:rPr>
          <w:rFonts w:cs="Arial"/>
        </w:rPr>
        <w:t>2.</w:t>
      </w:r>
      <w:r>
        <w:rPr>
          <w:rFonts w:cs="Arial"/>
        </w:rPr>
        <w:t>11</w:t>
      </w:r>
      <w:r w:rsidRPr="00484440">
        <w:rPr>
          <w:rFonts w:cs="Arial"/>
        </w:rPr>
        <w:t xml:space="preserve"> The Council therefore considers that the appellant has not justified the acknowledged non</w:t>
      </w:r>
      <w:r w:rsidRPr="00484440">
        <w:rPr>
          <w:rFonts w:cs="Arial"/>
        </w:rPr>
        <w:noBreakHyphen/>
        <w:t>compliance with M4(2), and that the proposal remains contrary to the objectives of London Plan Policy D7.</w:t>
      </w:r>
    </w:p>
    <w:p w14:paraId="55B94228" w14:textId="23C15351" w:rsidR="00456ADC" w:rsidRPr="00456ADC" w:rsidRDefault="00456ADC" w:rsidP="00484440">
      <w:pPr>
        <w:tabs>
          <w:tab w:val="left" w:pos="567"/>
          <w:tab w:val="left" w:pos="3765"/>
        </w:tabs>
        <w:ind w:left="570" w:hanging="570"/>
        <w:rPr>
          <w:rFonts w:cs="Arial"/>
          <w:lang w:eastAsia="en-GB"/>
        </w:rPr>
      </w:pPr>
    </w:p>
    <w:p w14:paraId="2537642F" w14:textId="5B503C7E" w:rsidR="00124D98" w:rsidRPr="0075506C" w:rsidRDefault="00182B4B" w:rsidP="008755D1">
      <w:pPr>
        <w:tabs>
          <w:tab w:val="left" w:pos="567"/>
          <w:tab w:val="left" w:pos="3765"/>
        </w:tabs>
        <w:ind w:left="567" w:hanging="567"/>
        <w:rPr>
          <w:rFonts w:cs="Arial"/>
          <w:lang w:eastAsia="en-GB"/>
        </w:rPr>
      </w:pPr>
      <w:r w:rsidRPr="00182B4B">
        <w:rPr>
          <w:rFonts w:cs="Arial"/>
          <w:i/>
          <w:iCs/>
          <w:lang w:eastAsia="en-GB"/>
        </w:rPr>
        <w:t>Excessive Parking Provision and Lack of Visibility Splays</w:t>
      </w:r>
      <w:r w:rsidR="00244786" w:rsidRPr="0075506C">
        <w:rPr>
          <w:rFonts w:cs="Arial"/>
          <w:lang w:eastAsia="en-GB"/>
        </w:rPr>
        <w:br/>
      </w:r>
    </w:p>
    <w:p w14:paraId="2D731F85" w14:textId="433DABB5" w:rsidR="00484440"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12</w:t>
      </w:r>
      <w:r w:rsidRPr="00484440">
        <w:rPr>
          <w:rFonts w:cs="Arial"/>
          <w:lang w:eastAsia="en-GB"/>
        </w:rPr>
        <w:t xml:space="preserve"> </w:t>
      </w:r>
      <w:r>
        <w:rPr>
          <w:rFonts w:cs="Arial"/>
          <w:lang w:eastAsia="en-GB"/>
        </w:rPr>
        <w:tab/>
      </w:r>
      <w:r w:rsidRPr="00484440">
        <w:rPr>
          <w:rFonts w:cs="Arial"/>
          <w:lang w:eastAsia="en-GB"/>
        </w:rPr>
        <w:t>The appellant places weight on the site’s low public transport accessibility and argues that the proposed parking provision is appropriate in this context. Reference is also made to parking stress survey evidence, which is said to demonstrate that the surrounding highway network has capacity to accommodate the proposal.</w:t>
      </w:r>
    </w:p>
    <w:p w14:paraId="7D43675B" w14:textId="77777777" w:rsidR="00484440" w:rsidRPr="00484440" w:rsidRDefault="00484440" w:rsidP="00484440">
      <w:pPr>
        <w:tabs>
          <w:tab w:val="left" w:pos="567"/>
          <w:tab w:val="left" w:pos="3765"/>
        </w:tabs>
        <w:rPr>
          <w:rFonts w:cs="Arial"/>
          <w:lang w:eastAsia="en-GB"/>
        </w:rPr>
      </w:pPr>
    </w:p>
    <w:p w14:paraId="348CFA13" w14:textId="47DA0A0E" w:rsidR="00484440"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13</w:t>
      </w:r>
      <w:r w:rsidRPr="00484440">
        <w:rPr>
          <w:rFonts w:cs="Arial"/>
          <w:lang w:eastAsia="en-GB"/>
        </w:rPr>
        <w:t xml:space="preserve"> </w:t>
      </w:r>
      <w:r>
        <w:rPr>
          <w:rFonts w:cs="Arial"/>
          <w:lang w:eastAsia="en-GB"/>
        </w:rPr>
        <w:tab/>
      </w:r>
      <w:r w:rsidRPr="00484440">
        <w:rPr>
          <w:rFonts w:cs="Arial"/>
          <w:lang w:eastAsia="en-GB"/>
        </w:rPr>
        <w:t xml:space="preserve">The Council acknowledges that the site has a low PTAL rating and that car use is likely. However, this does not remove the requirement for new development to comply with adopted parking standards and, critically, to demonstrate that safe access arrangements are achieved. The Council’s concern is not limited to parking numbers </w:t>
      </w:r>
      <w:proofErr w:type="gramStart"/>
      <w:r w:rsidRPr="00484440">
        <w:rPr>
          <w:rFonts w:cs="Arial"/>
          <w:lang w:eastAsia="en-GB"/>
        </w:rPr>
        <w:t>alone, but</w:t>
      </w:r>
      <w:proofErr w:type="gramEnd"/>
      <w:r w:rsidRPr="00484440">
        <w:rPr>
          <w:rFonts w:cs="Arial"/>
          <w:lang w:eastAsia="en-GB"/>
        </w:rPr>
        <w:t xml:space="preserve"> relates to the overall safety and design of vehicular access.</w:t>
      </w:r>
    </w:p>
    <w:p w14:paraId="5BBC6B3B" w14:textId="77777777" w:rsidR="00484440" w:rsidRPr="00484440" w:rsidRDefault="00484440" w:rsidP="00484440">
      <w:pPr>
        <w:tabs>
          <w:tab w:val="left" w:pos="567"/>
          <w:tab w:val="left" w:pos="3765"/>
        </w:tabs>
        <w:rPr>
          <w:rFonts w:cs="Arial"/>
          <w:lang w:eastAsia="en-GB"/>
        </w:rPr>
      </w:pPr>
    </w:p>
    <w:p w14:paraId="1F626CB1" w14:textId="7DD1C568" w:rsidR="00484440"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14</w:t>
      </w:r>
      <w:r w:rsidRPr="00484440">
        <w:rPr>
          <w:rFonts w:cs="Arial"/>
          <w:lang w:eastAsia="en-GB"/>
        </w:rPr>
        <w:t xml:space="preserve"> </w:t>
      </w:r>
      <w:r>
        <w:rPr>
          <w:rFonts w:cs="Arial"/>
          <w:lang w:eastAsia="en-GB"/>
        </w:rPr>
        <w:tab/>
      </w:r>
      <w:r w:rsidRPr="00484440">
        <w:rPr>
          <w:rFonts w:cs="Arial"/>
          <w:lang w:eastAsia="en-GB"/>
        </w:rPr>
        <w:t xml:space="preserve">A key element of the refusal reason is the absence of demonstrated pedestrian visibility splays. The </w:t>
      </w:r>
      <w:r w:rsidR="00B47907">
        <w:rPr>
          <w:rFonts w:cs="Arial"/>
          <w:lang w:eastAsia="en-GB"/>
        </w:rPr>
        <w:t>submitted</w:t>
      </w:r>
      <w:r w:rsidRPr="00484440">
        <w:rPr>
          <w:rFonts w:cs="Arial"/>
          <w:lang w:eastAsia="en-GB"/>
        </w:rPr>
        <w:t xml:space="preserve"> drawings assessed by the Council do not show the required visibility splays at the vehicular access, and without this information it is not possible to conclude that the proposal would provide safe interaction between vehicles and pedestrians. </w:t>
      </w:r>
    </w:p>
    <w:p w14:paraId="20CEC35F" w14:textId="77777777" w:rsidR="00484440" w:rsidRPr="00484440" w:rsidRDefault="00484440" w:rsidP="00484440">
      <w:pPr>
        <w:tabs>
          <w:tab w:val="left" w:pos="567"/>
          <w:tab w:val="left" w:pos="3765"/>
        </w:tabs>
        <w:rPr>
          <w:rFonts w:cs="Arial"/>
          <w:lang w:eastAsia="en-GB"/>
        </w:rPr>
      </w:pPr>
    </w:p>
    <w:p w14:paraId="12E40A2A" w14:textId="34D99745" w:rsidR="00B47907"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15</w:t>
      </w:r>
      <w:r w:rsidRPr="00484440">
        <w:rPr>
          <w:rFonts w:cs="Arial"/>
          <w:lang w:eastAsia="en-GB"/>
        </w:rPr>
        <w:t xml:space="preserve"> </w:t>
      </w:r>
      <w:r>
        <w:rPr>
          <w:rFonts w:cs="Arial"/>
          <w:lang w:eastAsia="en-GB"/>
        </w:rPr>
        <w:tab/>
      </w:r>
      <w:r w:rsidRPr="00484440">
        <w:rPr>
          <w:rFonts w:cs="Arial"/>
          <w:lang w:eastAsia="en-GB"/>
        </w:rPr>
        <w:t>The appellant also states that the crossover has since been upgraded and is now capable of serving both the existing and proposed dwellings. The Council notes that this arrangement was not included within the</w:t>
      </w:r>
      <w:r w:rsidR="00B47907">
        <w:rPr>
          <w:rFonts w:cs="Arial"/>
          <w:lang w:eastAsia="en-GB"/>
        </w:rPr>
        <w:t xml:space="preserve"> submitted drawings under the</w:t>
      </w:r>
      <w:r w:rsidRPr="00484440">
        <w:rPr>
          <w:rFonts w:cs="Arial"/>
          <w:lang w:eastAsia="en-GB"/>
        </w:rPr>
        <w:t xml:space="preserve"> original planning application and is not shown on the submitted plans forming part of the appeal. </w:t>
      </w:r>
      <w:r w:rsidR="00B47907">
        <w:rPr>
          <w:rFonts w:cs="Arial"/>
          <w:lang w:eastAsia="en-GB"/>
        </w:rPr>
        <w:t xml:space="preserve">From the photo attached within the appeal statement, it is noted that the said upgrading work has been completed and the upgraded crossover has been widened. However, the Council is unable to determine whether such crossover would be </w:t>
      </w:r>
      <w:r w:rsidR="00B47907">
        <w:rPr>
          <w:rFonts w:cs="Arial"/>
          <w:lang w:eastAsia="en-GB"/>
        </w:rPr>
        <w:lastRenderedPageBreak/>
        <w:t>sufficient to accommodate the 4 proposed car parking spaces (2 for the proposed dwelling and 2 for the host dwelling).</w:t>
      </w:r>
    </w:p>
    <w:p w14:paraId="5BD46646" w14:textId="77777777" w:rsidR="00484440" w:rsidRPr="00484440" w:rsidRDefault="00484440" w:rsidP="00484440">
      <w:pPr>
        <w:tabs>
          <w:tab w:val="left" w:pos="567"/>
          <w:tab w:val="left" w:pos="3765"/>
        </w:tabs>
        <w:rPr>
          <w:rFonts w:cs="Arial"/>
          <w:lang w:eastAsia="en-GB"/>
        </w:rPr>
      </w:pPr>
    </w:p>
    <w:p w14:paraId="2FA64527" w14:textId="2ABABB8C" w:rsidR="00484440"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16</w:t>
      </w:r>
      <w:r>
        <w:rPr>
          <w:rFonts w:cs="Arial"/>
          <w:lang w:eastAsia="en-GB"/>
        </w:rPr>
        <w:tab/>
      </w:r>
      <w:r w:rsidRPr="00484440">
        <w:rPr>
          <w:rFonts w:cs="Arial"/>
          <w:lang w:eastAsia="en-GB"/>
        </w:rPr>
        <w:t xml:space="preserve">In planning terms, works undertaken outside of, or </w:t>
      </w:r>
      <w:proofErr w:type="gramStart"/>
      <w:r w:rsidRPr="00484440">
        <w:rPr>
          <w:rFonts w:cs="Arial"/>
          <w:lang w:eastAsia="en-GB"/>
        </w:rPr>
        <w:t>subsequent to</w:t>
      </w:r>
      <w:proofErr w:type="gramEnd"/>
      <w:r w:rsidRPr="00484440">
        <w:rPr>
          <w:rFonts w:cs="Arial"/>
          <w:lang w:eastAsia="en-GB"/>
        </w:rPr>
        <w:t xml:space="preserve">, the application </w:t>
      </w:r>
      <w:proofErr w:type="gramStart"/>
      <w:r w:rsidRPr="00484440">
        <w:rPr>
          <w:rFonts w:cs="Arial"/>
          <w:lang w:eastAsia="en-GB"/>
        </w:rPr>
        <w:t>carry</w:t>
      </w:r>
      <w:proofErr w:type="gramEnd"/>
      <w:r w:rsidRPr="00484440">
        <w:rPr>
          <w:rFonts w:cs="Arial"/>
          <w:lang w:eastAsia="en-GB"/>
        </w:rPr>
        <w:t xml:space="preserve"> limited weight unless they are clearly defined, assessed as part of the proposal, and capable of being secured through planning conditions. In the absence of detailed drawings showing a compliant crossover and associated visibility splays, the Council considers that the appellant has not demonstrated that the proposal would achieve an acceptable standard of highway and pedestrian safety.</w:t>
      </w:r>
    </w:p>
    <w:p w14:paraId="705C4DE5" w14:textId="77777777" w:rsidR="00484440" w:rsidRPr="00484440" w:rsidRDefault="00484440" w:rsidP="00484440">
      <w:pPr>
        <w:tabs>
          <w:tab w:val="left" w:pos="567"/>
          <w:tab w:val="left" w:pos="3765"/>
        </w:tabs>
        <w:rPr>
          <w:rFonts w:cs="Arial"/>
          <w:lang w:eastAsia="en-GB"/>
        </w:rPr>
      </w:pPr>
    </w:p>
    <w:p w14:paraId="18B7B23A" w14:textId="3FE5109C" w:rsidR="00484440" w:rsidRPr="00484440" w:rsidRDefault="00484440" w:rsidP="00484440">
      <w:pPr>
        <w:tabs>
          <w:tab w:val="left" w:pos="567"/>
          <w:tab w:val="left" w:pos="3765"/>
        </w:tabs>
        <w:ind w:left="567" w:hanging="567"/>
        <w:rPr>
          <w:rFonts w:cs="Arial"/>
          <w:lang w:eastAsia="en-GB"/>
        </w:rPr>
      </w:pPr>
      <w:r w:rsidRPr="00484440">
        <w:rPr>
          <w:rFonts w:cs="Arial"/>
          <w:lang w:eastAsia="en-GB"/>
        </w:rPr>
        <w:t>2.</w:t>
      </w:r>
      <w:r>
        <w:rPr>
          <w:rFonts w:cs="Arial"/>
          <w:lang w:eastAsia="en-GB"/>
        </w:rPr>
        <w:t>17</w:t>
      </w:r>
      <w:r>
        <w:rPr>
          <w:rFonts w:cs="Arial"/>
          <w:lang w:eastAsia="en-GB"/>
        </w:rPr>
        <w:tab/>
      </w:r>
      <w:r w:rsidRPr="00484440">
        <w:rPr>
          <w:rFonts w:cs="Arial"/>
          <w:lang w:eastAsia="en-GB"/>
        </w:rPr>
        <w:t>The Council therefore maintains that Refusal Reason 3 has not been satisfactorily addressed.</w:t>
      </w:r>
    </w:p>
    <w:p w14:paraId="70DF7A49" w14:textId="5BE2A8AC" w:rsidR="00AB374B" w:rsidRPr="0075506C" w:rsidRDefault="00AB374B" w:rsidP="000A7452">
      <w:pPr>
        <w:tabs>
          <w:tab w:val="left" w:pos="567"/>
          <w:tab w:val="left" w:pos="3765"/>
        </w:tabs>
        <w:rPr>
          <w:rFonts w:cs="Arial"/>
        </w:rPr>
      </w:pPr>
    </w:p>
    <w:p w14:paraId="5028905D" w14:textId="7F18D58B" w:rsidR="00B870B7" w:rsidRPr="0075506C" w:rsidRDefault="00182B4B" w:rsidP="00E76E08">
      <w:pPr>
        <w:tabs>
          <w:tab w:val="left" w:pos="567"/>
          <w:tab w:val="left" w:pos="3765"/>
        </w:tabs>
        <w:rPr>
          <w:rFonts w:cs="Arial"/>
        </w:rPr>
      </w:pPr>
      <w:r w:rsidRPr="00182B4B">
        <w:rPr>
          <w:rFonts w:cs="Arial"/>
          <w:i/>
          <w:iCs/>
          <w:lang w:eastAsia="en-GB"/>
        </w:rPr>
        <w:t>Living Conditions for Future Occupiers</w:t>
      </w:r>
      <w:r w:rsidR="00E76E08" w:rsidRPr="0075506C">
        <w:rPr>
          <w:rFonts w:cs="Arial"/>
          <w:i/>
          <w:iCs/>
          <w:lang w:eastAsia="en-GB"/>
        </w:rPr>
        <w:br/>
      </w:r>
    </w:p>
    <w:p w14:paraId="3593EED9" w14:textId="79F528EF" w:rsidR="00182B4B" w:rsidRPr="00182B4B" w:rsidRDefault="00182B4B" w:rsidP="00182B4B">
      <w:pPr>
        <w:tabs>
          <w:tab w:val="left" w:pos="567"/>
          <w:tab w:val="left" w:pos="3765"/>
        </w:tabs>
        <w:ind w:left="567" w:hanging="567"/>
        <w:rPr>
          <w:rFonts w:cs="Arial"/>
        </w:rPr>
      </w:pPr>
      <w:r w:rsidRPr="00182B4B">
        <w:rPr>
          <w:rFonts w:cs="Arial"/>
        </w:rPr>
        <w:t>2.</w:t>
      </w:r>
      <w:r w:rsidR="00590B56">
        <w:rPr>
          <w:rFonts w:cs="Arial"/>
        </w:rPr>
        <w:t>18</w:t>
      </w:r>
      <w:r w:rsidRPr="00182B4B">
        <w:rPr>
          <w:rFonts w:cs="Arial"/>
        </w:rPr>
        <w:t xml:space="preserve"> </w:t>
      </w:r>
      <w:r>
        <w:rPr>
          <w:rFonts w:cs="Arial"/>
        </w:rPr>
        <w:tab/>
      </w:r>
      <w:r w:rsidR="00B47907" w:rsidRPr="00B47907">
        <w:rPr>
          <w:rFonts w:cs="Arial"/>
        </w:rPr>
        <w:t>The appellant relies on the overall internal floorspace of the dwelling and notes that it exceeds the minimum Gross Internal Area requirement for a one</w:t>
      </w:r>
      <w:r w:rsidR="00B47907" w:rsidRPr="00B47907">
        <w:rPr>
          <w:rFonts w:ascii="Cambria Math" w:hAnsi="Cambria Math" w:cs="Cambria Math"/>
        </w:rPr>
        <w:t>‑</w:t>
      </w:r>
      <w:r w:rsidR="00B47907" w:rsidRPr="00B47907">
        <w:rPr>
          <w:rFonts w:cs="Arial"/>
        </w:rPr>
        <w:t>bedroom, two</w:t>
      </w:r>
      <w:r w:rsidR="00B47907" w:rsidRPr="00B47907">
        <w:rPr>
          <w:rFonts w:ascii="Cambria Math" w:hAnsi="Cambria Math" w:cs="Cambria Math"/>
        </w:rPr>
        <w:t>‑</w:t>
      </w:r>
      <w:r w:rsidR="00B47907" w:rsidRPr="00B47907">
        <w:rPr>
          <w:rFonts w:cs="Arial"/>
        </w:rPr>
        <w:t>person home. They also argue that lower</w:t>
      </w:r>
      <w:r w:rsidR="00B47907" w:rsidRPr="00B47907">
        <w:rPr>
          <w:rFonts w:ascii="Cambria Math" w:hAnsi="Cambria Math" w:cs="Cambria Math"/>
        </w:rPr>
        <w:t>‑</w:t>
      </w:r>
      <w:r w:rsidR="00B47907" w:rsidRPr="00B47907">
        <w:rPr>
          <w:rFonts w:cs="Arial"/>
        </w:rPr>
        <w:t>ground accommodation can provide acceptable living conditions and that the private garden would be adequate for the size of the dwelling.</w:t>
      </w:r>
    </w:p>
    <w:p w14:paraId="5413018C" w14:textId="77777777" w:rsidR="00182B4B" w:rsidRPr="00182B4B" w:rsidRDefault="00182B4B" w:rsidP="00182B4B">
      <w:pPr>
        <w:tabs>
          <w:tab w:val="left" w:pos="567"/>
          <w:tab w:val="left" w:pos="3765"/>
        </w:tabs>
        <w:rPr>
          <w:rFonts w:cs="Arial"/>
        </w:rPr>
      </w:pPr>
    </w:p>
    <w:p w14:paraId="073ED1AD" w14:textId="19321A47" w:rsidR="00182B4B" w:rsidRPr="00182B4B" w:rsidRDefault="00182B4B" w:rsidP="00182B4B">
      <w:pPr>
        <w:tabs>
          <w:tab w:val="left" w:pos="567"/>
          <w:tab w:val="left" w:pos="3765"/>
        </w:tabs>
        <w:ind w:left="567" w:hanging="567"/>
        <w:rPr>
          <w:rFonts w:cs="Arial"/>
        </w:rPr>
      </w:pPr>
      <w:r w:rsidRPr="00182B4B">
        <w:rPr>
          <w:rFonts w:cs="Arial"/>
        </w:rPr>
        <w:t>2.</w:t>
      </w:r>
      <w:r w:rsidR="00590B56">
        <w:rPr>
          <w:rFonts w:cs="Arial"/>
        </w:rPr>
        <w:t>19</w:t>
      </w:r>
      <w:r w:rsidRPr="00182B4B">
        <w:rPr>
          <w:rFonts w:cs="Arial"/>
        </w:rPr>
        <w:t xml:space="preserve"> </w:t>
      </w:r>
      <w:r>
        <w:rPr>
          <w:rFonts w:cs="Arial"/>
        </w:rPr>
        <w:tab/>
      </w:r>
      <w:r w:rsidR="00B47907" w:rsidRPr="00B47907">
        <w:rPr>
          <w:rFonts w:cs="Arial"/>
        </w:rPr>
        <w:t>The Council does not dispute that the proposal meets the minimum overall floorspace requirement. However, the concern is with the quality and usability of the accommodation. In particular, the combined living/dining/kitchen area falls below the benchmark normally expected for a dwelling of this size</w:t>
      </w:r>
      <w:r w:rsidR="00590B56">
        <w:rPr>
          <w:rFonts w:cs="Arial"/>
        </w:rPr>
        <w:t xml:space="preserve"> (i.e. the minimum </w:t>
      </w:r>
      <w:r w:rsidR="00590B56" w:rsidRPr="00590B56">
        <w:rPr>
          <w:rFonts w:cs="Arial"/>
        </w:rPr>
        <w:t>living/kitchen/dining space</w:t>
      </w:r>
      <w:r w:rsidR="00590B56">
        <w:rPr>
          <w:rFonts w:cs="Arial"/>
        </w:rPr>
        <w:t xml:space="preserve"> under Housing Design Standards LPG (2023))</w:t>
      </w:r>
      <w:r w:rsidR="00B47907" w:rsidRPr="00B47907">
        <w:rPr>
          <w:rFonts w:cs="Arial"/>
        </w:rPr>
        <w:t>, which affects the functionality of the main living space.</w:t>
      </w:r>
    </w:p>
    <w:p w14:paraId="125A09CA" w14:textId="77777777" w:rsidR="00182B4B" w:rsidRPr="00182B4B" w:rsidRDefault="00182B4B" w:rsidP="00182B4B">
      <w:pPr>
        <w:tabs>
          <w:tab w:val="left" w:pos="567"/>
          <w:tab w:val="left" w:pos="3765"/>
        </w:tabs>
        <w:rPr>
          <w:rFonts w:cs="Arial"/>
        </w:rPr>
      </w:pPr>
    </w:p>
    <w:p w14:paraId="0FFEA155" w14:textId="3AC8545E" w:rsidR="00182B4B" w:rsidRPr="00182B4B" w:rsidRDefault="00182B4B" w:rsidP="00182B4B">
      <w:pPr>
        <w:tabs>
          <w:tab w:val="left" w:pos="567"/>
          <w:tab w:val="left" w:pos="3765"/>
        </w:tabs>
        <w:ind w:left="567" w:hanging="567"/>
        <w:rPr>
          <w:rFonts w:cs="Arial"/>
        </w:rPr>
      </w:pPr>
      <w:r w:rsidRPr="00182B4B">
        <w:rPr>
          <w:rFonts w:cs="Arial"/>
        </w:rPr>
        <w:t>2.2</w:t>
      </w:r>
      <w:r w:rsidR="00590B56">
        <w:rPr>
          <w:rFonts w:cs="Arial"/>
        </w:rPr>
        <w:t>0</w:t>
      </w:r>
      <w:r w:rsidRPr="00182B4B">
        <w:rPr>
          <w:rFonts w:cs="Arial"/>
        </w:rPr>
        <w:t xml:space="preserve"> </w:t>
      </w:r>
      <w:r>
        <w:rPr>
          <w:rFonts w:cs="Arial"/>
        </w:rPr>
        <w:tab/>
      </w:r>
      <w:r w:rsidR="00590B56" w:rsidRPr="00590B56">
        <w:rPr>
          <w:rFonts w:cs="Arial"/>
        </w:rPr>
        <w:t>The Council also considers that the lower</w:t>
      </w:r>
      <w:r w:rsidR="00590B56" w:rsidRPr="00590B56">
        <w:rPr>
          <w:rFonts w:ascii="Cambria Math" w:hAnsi="Cambria Math" w:cs="Cambria Math"/>
        </w:rPr>
        <w:t>‑</w:t>
      </w:r>
      <w:r w:rsidR="00590B56" w:rsidRPr="00590B56">
        <w:rPr>
          <w:rFonts w:cs="Arial"/>
        </w:rPr>
        <w:t>ground bedroom would experience a constrained outlook</w:t>
      </w:r>
      <w:r w:rsidR="00590B56">
        <w:rPr>
          <w:rFonts w:cs="Arial"/>
        </w:rPr>
        <w:t xml:space="preserve"> </w:t>
      </w:r>
      <w:proofErr w:type="gramStart"/>
      <w:r w:rsidR="00590B56" w:rsidRPr="00590B56">
        <w:rPr>
          <w:rFonts w:cs="Arial"/>
        </w:rPr>
        <w:t>as a result of</w:t>
      </w:r>
      <w:proofErr w:type="gramEnd"/>
      <w:r w:rsidR="00590B56" w:rsidRPr="00590B56">
        <w:rPr>
          <w:rFonts w:cs="Arial"/>
        </w:rPr>
        <w:t xml:space="preserve"> the lightwell</w:t>
      </w:r>
      <w:r w:rsidR="00590B56">
        <w:rPr>
          <w:rFonts w:cs="Arial"/>
        </w:rPr>
        <w:t xml:space="preserve"> and high-level window</w:t>
      </w:r>
      <w:r w:rsidR="00590B56" w:rsidRPr="00590B56">
        <w:rPr>
          <w:rFonts w:cs="Arial"/>
        </w:rPr>
        <w:t xml:space="preserve"> arrangement, resulting in a sense of enclosure that would detract from the living conditions of future occupiers. The appellant has not provided technical assessment work to demonstrate that the qualitative concerns identified would be avoided.</w:t>
      </w:r>
    </w:p>
    <w:p w14:paraId="171F3EE4" w14:textId="77777777" w:rsidR="00182B4B" w:rsidRPr="00182B4B" w:rsidRDefault="00182B4B" w:rsidP="00182B4B">
      <w:pPr>
        <w:tabs>
          <w:tab w:val="left" w:pos="567"/>
          <w:tab w:val="left" w:pos="3765"/>
        </w:tabs>
        <w:rPr>
          <w:rFonts w:cs="Arial"/>
        </w:rPr>
      </w:pPr>
    </w:p>
    <w:p w14:paraId="367FF84C" w14:textId="4A79121A" w:rsidR="00182B4B" w:rsidRPr="00182B4B" w:rsidRDefault="00182B4B" w:rsidP="00182B4B">
      <w:pPr>
        <w:tabs>
          <w:tab w:val="left" w:pos="567"/>
          <w:tab w:val="left" w:pos="3765"/>
        </w:tabs>
        <w:ind w:left="567" w:hanging="567"/>
        <w:rPr>
          <w:rFonts w:cs="Arial"/>
        </w:rPr>
      </w:pPr>
      <w:r w:rsidRPr="00182B4B">
        <w:rPr>
          <w:rFonts w:cs="Arial"/>
        </w:rPr>
        <w:t>2.2</w:t>
      </w:r>
      <w:r w:rsidR="00590B56">
        <w:rPr>
          <w:rFonts w:cs="Arial"/>
        </w:rPr>
        <w:t>1</w:t>
      </w:r>
      <w:r w:rsidRPr="00182B4B">
        <w:rPr>
          <w:rFonts w:cs="Arial"/>
        </w:rPr>
        <w:t xml:space="preserve"> </w:t>
      </w:r>
      <w:r>
        <w:rPr>
          <w:rFonts w:cs="Arial"/>
        </w:rPr>
        <w:tab/>
      </w:r>
      <w:r w:rsidR="00590B56" w:rsidRPr="00590B56">
        <w:rPr>
          <w:rFonts w:cs="Arial"/>
        </w:rPr>
        <w:t>In relation to external amenity space, the appellant suggests that the garden size is sufficient and that overlooking is a common feature of residential environments. The Council’s concern, however, relates to the degree of overlooking and the shallow, enclosed nature of the garden, which together would limit privacy and the practical enjoyment of the space. These impacts arise from the fixed relationship between the proposed dwelling and the existing house and are not readily addressed through conditions alone.</w:t>
      </w:r>
    </w:p>
    <w:p w14:paraId="21E5C82F" w14:textId="77777777" w:rsidR="00182B4B" w:rsidRPr="00182B4B" w:rsidRDefault="00182B4B" w:rsidP="00182B4B">
      <w:pPr>
        <w:tabs>
          <w:tab w:val="left" w:pos="567"/>
          <w:tab w:val="left" w:pos="3765"/>
        </w:tabs>
        <w:rPr>
          <w:rFonts w:cs="Arial"/>
        </w:rPr>
      </w:pPr>
    </w:p>
    <w:p w14:paraId="055BFF72" w14:textId="3384A25A" w:rsidR="00C76C55" w:rsidRDefault="00182B4B" w:rsidP="00590B56">
      <w:pPr>
        <w:tabs>
          <w:tab w:val="left" w:pos="567"/>
          <w:tab w:val="left" w:pos="3765"/>
        </w:tabs>
        <w:ind w:left="567" w:hanging="567"/>
        <w:rPr>
          <w:rFonts w:cs="Arial"/>
        </w:rPr>
      </w:pPr>
      <w:r w:rsidRPr="00182B4B">
        <w:rPr>
          <w:rFonts w:cs="Arial"/>
        </w:rPr>
        <w:t>2.2</w:t>
      </w:r>
      <w:r w:rsidR="00590B56">
        <w:rPr>
          <w:rFonts w:cs="Arial"/>
        </w:rPr>
        <w:t>2</w:t>
      </w:r>
      <w:r w:rsidRPr="00182B4B">
        <w:rPr>
          <w:rFonts w:cs="Arial"/>
        </w:rPr>
        <w:t xml:space="preserve"> </w:t>
      </w:r>
      <w:r>
        <w:rPr>
          <w:rFonts w:cs="Arial"/>
        </w:rPr>
        <w:tab/>
      </w:r>
      <w:r w:rsidR="00590B56" w:rsidRPr="00590B56">
        <w:rPr>
          <w:rFonts w:cs="Arial"/>
        </w:rPr>
        <w:t>Taking these factors together, the Council remains of the view that the proposal would not provide an acceptable standard of internal or external amenity for future occupiers.</w:t>
      </w:r>
    </w:p>
    <w:p w14:paraId="12EBE85C" w14:textId="77777777" w:rsidR="00590B56" w:rsidRPr="00797696" w:rsidRDefault="00590B56" w:rsidP="00590B56">
      <w:pPr>
        <w:tabs>
          <w:tab w:val="left" w:pos="567"/>
          <w:tab w:val="left" w:pos="3765"/>
        </w:tabs>
        <w:ind w:left="567" w:hanging="567"/>
        <w:rPr>
          <w:rFonts w:cs="Arial"/>
          <w:lang w:eastAsia="en-GB"/>
        </w:rPr>
      </w:pPr>
    </w:p>
    <w:p w14:paraId="35637BDA" w14:textId="77777777" w:rsidR="005B3CE2" w:rsidRPr="00797696" w:rsidRDefault="005B3CE2" w:rsidP="005B3CE2">
      <w:pPr>
        <w:tabs>
          <w:tab w:val="left" w:pos="567"/>
          <w:tab w:val="left" w:pos="3765"/>
        </w:tabs>
        <w:rPr>
          <w:rFonts w:cs="Arial"/>
          <w:b/>
          <w:bCs/>
          <w:sz w:val="32"/>
          <w:szCs w:val="32"/>
          <w:lang w:eastAsia="en-GB"/>
        </w:rPr>
      </w:pPr>
      <w:r w:rsidRPr="00797696">
        <w:rPr>
          <w:rFonts w:cs="Arial"/>
          <w:b/>
          <w:bCs/>
          <w:sz w:val="32"/>
          <w:szCs w:val="32"/>
          <w:lang w:eastAsia="en-GB"/>
        </w:rPr>
        <w:t>3.</w:t>
      </w:r>
      <w:r w:rsidRPr="00797696">
        <w:rPr>
          <w:rFonts w:cs="Arial"/>
          <w:b/>
          <w:bCs/>
          <w:sz w:val="32"/>
          <w:szCs w:val="32"/>
          <w:lang w:eastAsia="en-GB"/>
        </w:rPr>
        <w:tab/>
        <w:t>Other Matters</w:t>
      </w:r>
    </w:p>
    <w:p w14:paraId="44931FF4" w14:textId="77777777" w:rsidR="005B3CE2" w:rsidRPr="00797696" w:rsidRDefault="005B3CE2" w:rsidP="005B3CE2">
      <w:pPr>
        <w:tabs>
          <w:tab w:val="left" w:pos="567"/>
          <w:tab w:val="left" w:pos="3765"/>
        </w:tabs>
        <w:rPr>
          <w:rFonts w:cs="Arial"/>
          <w:lang w:eastAsia="en-GB"/>
        </w:rPr>
      </w:pPr>
    </w:p>
    <w:p w14:paraId="5B3DB199" w14:textId="77777777" w:rsidR="00A12FAD" w:rsidRPr="00797696" w:rsidRDefault="005B3CE2" w:rsidP="00266737">
      <w:pPr>
        <w:tabs>
          <w:tab w:val="left" w:pos="567"/>
          <w:tab w:val="left" w:pos="3765"/>
        </w:tabs>
        <w:ind w:left="567" w:hanging="567"/>
        <w:rPr>
          <w:rFonts w:cs="Arial"/>
          <w:lang w:eastAsia="en-GB"/>
        </w:rPr>
      </w:pPr>
      <w:r w:rsidRPr="00797696">
        <w:rPr>
          <w:rFonts w:cs="Arial"/>
          <w:lang w:eastAsia="en-GB"/>
        </w:rPr>
        <w:t>3.1</w:t>
      </w:r>
      <w:r w:rsidRPr="00797696">
        <w:rPr>
          <w:rFonts w:cs="Arial"/>
          <w:lang w:eastAsia="en-GB"/>
        </w:rPr>
        <w:tab/>
      </w:r>
      <w:r w:rsidR="00266737" w:rsidRPr="00797696">
        <w:rPr>
          <w:rFonts w:cs="Arial"/>
          <w:lang w:eastAsia="en-GB"/>
        </w:rPr>
        <w:t>The officers delegated report and copies of the relevant planning policies (referenced in the delegated report) have been sent separately.</w:t>
      </w:r>
    </w:p>
    <w:p w14:paraId="68D3323E" w14:textId="77777777" w:rsidR="00C76C55" w:rsidRPr="00797696" w:rsidRDefault="00C76C55" w:rsidP="00A12FAD">
      <w:pPr>
        <w:tabs>
          <w:tab w:val="left" w:pos="567"/>
          <w:tab w:val="left" w:pos="3765"/>
        </w:tabs>
        <w:rPr>
          <w:rFonts w:cs="Arial"/>
          <w:b/>
          <w:bCs/>
          <w:lang w:eastAsia="en-GB"/>
        </w:rPr>
      </w:pPr>
    </w:p>
    <w:p w14:paraId="093B5170" w14:textId="77777777" w:rsidR="00A12FAD" w:rsidRPr="00797696" w:rsidRDefault="00C76C55" w:rsidP="00C76C55">
      <w:pPr>
        <w:pStyle w:val="Default"/>
        <w:tabs>
          <w:tab w:val="left" w:pos="567"/>
        </w:tabs>
        <w:rPr>
          <w:b/>
          <w:bCs/>
          <w:color w:val="auto"/>
          <w:sz w:val="32"/>
          <w:szCs w:val="32"/>
        </w:rPr>
      </w:pPr>
      <w:r w:rsidRPr="00797696">
        <w:rPr>
          <w:b/>
          <w:bCs/>
          <w:color w:val="auto"/>
          <w:sz w:val="32"/>
          <w:szCs w:val="32"/>
        </w:rPr>
        <w:t xml:space="preserve">4. </w:t>
      </w:r>
      <w:r w:rsidRPr="00797696">
        <w:rPr>
          <w:b/>
          <w:bCs/>
          <w:color w:val="auto"/>
          <w:sz w:val="32"/>
          <w:szCs w:val="32"/>
        </w:rPr>
        <w:tab/>
        <w:t>Conclusion</w:t>
      </w:r>
    </w:p>
    <w:p w14:paraId="43AFF228" w14:textId="77777777" w:rsidR="00C76C55" w:rsidRPr="00797696" w:rsidRDefault="00C76C55" w:rsidP="00C76C55">
      <w:pPr>
        <w:pStyle w:val="Default"/>
        <w:tabs>
          <w:tab w:val="left" w:pos="567"/>
        </w:tabs>
        <w:rPr>
          <w:color w:val="auto"/>
        </w:rPr>
      </w:pPr>
    </w:p>
    <w:p w14:paraId="4FE9B269" w14:textId="77777777" w:rsidR="00266737" w:rsidRPr="00797696" w:rsidRDefault="00266737" w:rsidP="00266737">
      <w:pPr>
        <w:tabs>
          <w:tab w:val="left" w:pos="567"/>
          <w:tab w:val="left" w:pos="3765"/>
        </w:tabs>
        <w:ind w:left="567" w:hanging="567"/>
        <w:rPr>
          <w:rFonts w:cs="Arial"/>
        </w:rPr>
      </w:pPr>
      <w:r w:rsidRPr="00797696">
        <w:rPr>
          <w:rFonts w:cs="Arial"/>
        </w:rPr>
        <w:t>4.1</w:t>
      </w:r>
      <w:r w:rsidRPr="00797696">
        <w:rPr>
          <w:rFonts w:cs="Arial"/>
        </w:rPr>
        <w:tab/>
        <w:t xml:space="preserve">For the reasons set out in the Officers Delegated report and this statement the Inspector is respectfully requested to dismiss the appeal. </w:t>
      </w:r>
    </w:p>
    <w:p w14:paraId="536E43BB" w14:textId="77777777" w:rsidR="00266737" w:rsidRPr="00797696" w:rsidRDefault="00266737" w:rsidP="00266737">
      <w:pPr>
        <w:tabs>
          <w:tab w:val="left" w:pos="567"/>
          <w:tab w:val="left" w:pos="3765"/>
        </w:tabs>
        <w:ind w:left="567" w:hanging="567"/>
        <w:rPr>
          <w:rFonts w:cs="Arial"/>
          <w:highlight w:val="yellow"/>
        </w:rPr>
      </w:pPr>
    </w:p>
    <w:p w14:paraId="482931C1" w14:textId="77777777" w:rsidR="00CF24D5" w:rsidRPr="00797696" w:rsidRDefault="00266737" w:rsidP="00266737">
      <w:pPr>
        <w:tabs>
          <w:tab w:val="left" w:pos="567"/>
          <w:tab w:val="left" w:pos="3765"/>
        </w:tabs>
        <w:ind w:left="567" w:hanging="567"/>
        <w:rPr>
          <w:rFonts w:cs="Arial"/>
        </w:rPr>
      </w:pPr>
      <w:r w:rsidRPr="00797696">
        <w:rPr>
          <w:rFonts w:cs="Arial"/>
        </w:rPr>
        <w:t>4.2</w:t>
      </w:r>
      <w:r w:rsidRPr="00797696">
        <w:rPr>
          <w:rFonts w:cs="Arial"/>
        </w:rPr>
        <w:tab/>
        <w:t>In the event that the Inspector considers the appeal should be allowed, and without prejudice to the Council’s case, a list of recommended planning conditions is included at Appendix 1.</w:t>
      </w:r>
    </w:p>
    <w:p w14:paraId="6F668444" w14:textId="77777777" w:rsidR="00CF24D5" w:rsidRPr="00797696" w:rsidRDefault="00CF24D5" w:rsidP="00C76C55">
      <w:pPr>
        <w:tabs>
          <w:tab w:val="left" w:pos="567"/>
          <w:tab w:val="left" w:pos="3765"/>
        </w:tabs>
        <w:ind w:left="567" w:hanging="567"/>
        <w:rPr>
          <w:rFonts w:cs="Arial"/>
        </w:rPr>
      </w:pPr>
    </w:p>
    <w:p w14:paraId="4AED05A9" w14:textId="77777777" w:rsidR="00CF24D5" w:rsidRPr="00797696" w:rsidRDefault="00CF24D5" w:rsidP="00C76C55">
      <w:pPr>
        <w:tabs>
          <w:tab w:val="left" w:pos="567"/>
          <w:tab w:val="left" w:pos="3765"/>
        </w:tabs>
        <w:ind w:left="567" w:hanging="567"/>
      </w:pPr>
    </w:p>
    <w:p w14:paraId="01FF0009" w14:textId="77777777" w:rsidR="00CF24D5" w:rsidRPr="00797696" w:rsidRDefault="00CF24D5" w:rsidP="00266737">
      <w:pPr>
        <w:tabs>
          <w:tab w:val="left" w:pos="567"/>
          <w:tab w:val="left" w:pos="3765"/>
        </w:tabs>
        <w:ind w:left="567" w:hanging="567"/>
        <w:rPr>
          <w:b/>
          <w:bCs/>
          <w:sz w:val="36"/>
          <w:szCs w:val="36"/>
        </w:rPr>
      </w:pPr>
      <w:r w:rsidRPr="00797696">
        <w:rPr>
          <w:b/>
          <w:bCs/>
          <w:sz w:val="36"/>
          <w:szCs w:val="36"/>
        </w:rPr>
        <w:t>Appendices</w:t>
      </w:r>
    </w:p>
    <w:p w14:paraId="2EB1125E" w14:textId="77777777" w:rsidR="00CF24D5" w:rsidRDefault="00CF24D5" w:rsidP="00C76C55">
      <w:pPr>
        <w:tabs>
          <w:tab w:val="left" w:pos="567"/>
          <w:tab w:val="left" w:pos="3765"/>
        </w:tabs>
        <w:ind w:left="567" w:hanging="567"/>
      </w:pPr>
    </w:p>
    <w:p w14:paraId="5A1A635C" w14:textId="77777777" w:rsidR="00CF24D5" w:rsidRPr="00CF24D5" w:rsidRDefault="00CF24D5" w:rsidP="00C76C55">
      <w:pPr>
        <w:tabs>
          <w:tab w:val="left" w:pos="567"/>
          <w:tab w:val="left" w:pos="3765"/>
        </w:tabs>
        <w:ind w:left="567" w:hanging="567"/>
        <w:rPr>
          <w:sz w:val="28"/>
          <w:szCs w:val="28"/>
        </w:rPr>
      </w:pPr>
      <w:r w:rsidRPr="00CF24D5">
        <w:rPr>
          <w:sz w:val="28"/>
          <w:szCs w:val="28"/>
        </w:rPr>
        <w:t>Appendix 1 – The LPA’s Recommended Conditions</w:t>
      </w:r>
    </w:p>
    <w:sectPr w:rsidR="00CF24D5" w:rsidRPr="00CF24D5"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7BC3" w14:textId="77777777" w:rsidR="008826AE" w:rsidRDefault="008826AE">
      <w:r>
        <w:separator/>
      </w:r>
    </w:p>
  </w:endnote>
  <w:endnote w:type="continuationSeparator" w:id="0">
    <w:p w14:paraId="0A168CCE" w14:textId="77777777" w:rsidR="008826AE" w:rsidRDefault="0088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551"/>
  <w:bookmarkEnd w:id="0"/>
  <w:bookmarkStart w:id="1" w:name="_MON_1221990875"/>
  <w:bookmarkEnd w:id="1"/>
  <w:p w14:paraId="4CF6705C" w14:textId="77777777" w:rsidR="00573263" w:rsidRDefault="00573263">
    <w:pPr>
      <w:pStyle w:val="Footer"/>
      <w:ind w:left="-1080" w:right="-1134"/>
      <w:jc w:val="center"/>
    </w:pPr>
    <w:r>
      <w:object w:dxaOrig="11745" w:dyaOrig="2145" w14:anchorId="0E0EDE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25pt;height:107.25pt">
          <v:imagedata r:id="rId1" o:title=""/>
        </v:shape>
        <o:OLEObject Type="Embed" ProgID="Word.Picture.8" ShapeID="_x0000_i1025" DrawAspect="Content" ObjectID="_1837597372"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5F43"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3C8E624F"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5E44" w14:textId="3EE64875" w:rsidR="003564DE" w:rsidRPr="003564DE" w:rsidRDefault="003564DE" w:rsidP="003564DE">
    <w:pPr>
      <w:pStyle w:val="Footer"/>
      <w:tabs>
        <w:tab w:val="left" w:pos="2694"/>
      </w:tabs>
      <w:ind w:left="-1134" w:firstLine="1134"/>
    </w:pPr>
    <w:r w:rsidRPr="003564DE">
      <w:rPr>
        <w:b/>
      </w:rPr>
      <w:t xml:space="preserve">Our Ref:  </w:t>
    </w:r>
    <w:r w:rsidRPr="003564DE">
      <w:rPr>
        <w:b/>
      </w:rPr>
      <w:tab/>
    </w:r>
    <w:r w:rsidR="00DC4E2E" w:rsidRPr="00DC4E2E">
      <w:rPr>
        <w:b/>
      </w:rPr>
      <w:t>77359/APP/2025/2851</w:t>
    </w:r>
  </w:p>
  <w:p w14:paraId="6E4445AB" w14:textId="73CBC4C1" w:rsidR="00573263" w:rsidRDefault="003564DE" w:rsidP="00664245">
    <w:pPr>
      <w:pStyle w:val="Footer"/>
      <w:tabs>
        <w:tab w:val="clear" w:pos="4153"/>
        <w:tab w:val="clear" w:pos="8306"/>
        <w:tab w:val="left" w:pos="2694"/>
        <w:tab w:val="right" w:pos="5529"/>
      </w:tabs>
    </w:pPr>
    <w:r w:rsidRPr="003564DE">
      <w:rPr>
        <w:b/>
      </w:rPr>
      <w:t xml:space="preserve">Your Ref:  </w:t>
    </w:r>
    <w:r w:rsidRPr="003564DE">
      <w:rPr>
        <w:b/>
      </w:rPr>
      <w:tab/>
    </w:r>
    <w:r w:rsidR="00DC4E2E" w:rsidRPr="00DC4E2E">
      <w:rPr>
        <w:b/>
        <w:lang w:val="en-US"/>
      </w:rPr>
      <w:t>6005469</w:t>
    </w:r>
    <w:r w:rsidR="00CA4EFC">
      <w:rPr>
        <w:noProof/>
      </w:rPr>
      <w:drawing>
        <wp:anchor distT="0" distB="0" distL="114300" distR="114300" simplePos="0" relativeHeight="251658240" behindDoc="1" locked="0" layoutInCell="1" allowOverlap="1" wp14:anchorId="5A596941" wp14:editId="12EC6185">
          <wp:simplePos x="0" y="0"/>
          <wp:positionH relativeFrom="column">
            <wp:posOffset>-723265</wp:posOffset>
          </wp:positionH>
          <wp:positionV relativeFrom="paragraph">
            <wp:posOffset>-1558290</wp:posOffset>
          </wp:positionV>
          <wp:extent cx="7556500" cy="21717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4EFC">
      <w:rPr>
        <w:noProof/>
        <w:sz w:val="20"/>
        <w:lang w:val="en-US"/>
      </w:rPr>
      <mc:AlternateContent>
        <mc:Choice Requires="wps">
          <w:drawing>
            <wp:anchor distT="0" distB="0" distL="114300" distR="114300" simplePos="0" relativeHeight="251657216" behindDoc="0" locked="0" layoutInCell="1" allowOverlap="1" wp14:anchorId="3327D554" wp14:editId="3D33E0B3">
              <wp:simplePos x="0" y="0"/>
              <wp:positionH relativeFrom="column">
                <wp:posOffset>-12700</wp:posOffset>
              </wp:positionH>
              <wp:positionV relativeFrom="paragraph">
                <wp:posOffset>1267460</wp:posOffset>
              </wp:positionV>
              <wp:extent cx="4000500" cy="1371600"/>
              <wp:effectExtent l="0" t="635" r="3175" b="0"/>
              <wp:wrapNone/>
              <wp:docPr id="17462568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7D554" id="_x0000_t202" coordsize="21600,21600" o:spt="202" path="m,l,21600r21600,l21600,xe">
              <v:stroke joinstyle="miter"/>
              <v:path gradientshapeok="t" o:connecttype="rect"/>
            </v:shapetype>
            <v:shape id="Text Box 5" o:spid="_x0000_s1026" type="#_x0000_t202" style="position:absolute;margin-left:-1pt;margin-top:99.8pt;width:31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" filled="f" stroked="f">
              <v:textbox>
                <w:txbxContent>
                  <w:p w14:paraId="1A2FD4E1"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38067BA7"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6BC28D2F"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21AF23E9"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57016168" w14:textId="77777777" w:rsidR="00573263" w:rsidRDefault="00573263">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6B02C2B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F140" w14:textId="77777777" w:rsidR="008826AE" w:rsidRDefault="008826AE">
      <w:r>
        <w:separator/>
      </w:r>
    </w:p>
  </w:footnote>
  <w:footnote w:type="continuationSeparator" w:id="0">
    <w:p w14:paraId="47FBE62A" w14:textId="77777777" w:rsidR="008826AE" w:rsidRDefault="00882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8298"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A319" w14:textId="1FAC2FDE" w:rsidR="00573263" w:rsidRDefault="00CA4EFC">
    <w:pPr>
      <w:pStyle w:val="Header"/>
      <w:jc w:val="center"/>
    </w:pPr>
    <w:r>
      <w:rPr>
        <w:noProof/>
      </w:rPr>
      <w:drawing>
        <wp:inline distT="0" distB="0" distL="0" distR="0" wp14:anchorId="6B6BA798" wp14:editId="5268F5D8">
          <wp:extent cx="2163445" cy="13265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3445" cy="1326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D7E"/>
    <w:multiLevelType w:val="multilevel"/>
    <w:tmpl w:val="568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C4C74"/>
    <w:multiLevelType w:val="hybridMultilevel"/>
    <w:tmpl w:val="A1BC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319C"/>
    <w:multiLevelType w:val="hybridMultilevel"/>
    <w:tmpl w:val="DC2A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15915"/>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67C7"/>
    <w:multiLevelType w:val="hybridMultilevel"/>
    <w:tmpl w:val="1B3E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37921"/>
    <w:multiLevelType w:val="hybridMultilevel"/>
    <w:tmpl w:val="7E761D08"/>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64417"/>
    <w:multiLevelType w:val="hybridMultilevel"/>
    <w:tmpl w:val="DC540AF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15:restartNumberingAfterBreak="0">
    <w:nsid w:val="28AE6499"/>
    <w:multiLevelType w:val="hybridMultilevel"/>
    <w:tmpl w:val="2C4AA0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AA0EB9"/>
    <w:multiLevelType w:val="hybridMultilevel"/>
    <w:tmpl w:val="210AF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CA4C02"/>
    <w:multiLevelType w:val="hybridMultilevel"/>
    <w:tmpl w:val="3FC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D2143"/>
    <w:multiLevelType w:val="hybridMultilevel"/>
    <w:tmpl w:val="6522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0042B"/>
    <w:multiLevelType w:val="hybridMultilevel"/>
    <w:tmpl w:val="0CF2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B61BD"/>
    <w:multiLevelType w:val="hybridMultilevel"/>
    <w:tmpl w:val="BD00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F02E39"/>
    <w:multiLevelType w:val="hybridMultilevel"/>
    <w:tmpl w:val="C024DA3A"/>
    <w:lvl w:ilvl="0" w:tplc="D7F0AAE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59129A"/>
    <w:multiLevelType w:val="multilevel"/>
    <w:tmpl w:val="99DE8A52"/>
    <w:lvl w:ilvl="0">
      <w:start w:val="1"/>
      <w:numFmt w:val="decimal"/>
      <w:lvlText w:val="%1"/>
      <w:lvlJc w:val="left"/>
      <w:pPr>
        <w:ind w:left="530" w:hanging="530"/>
      </w:pPr>
      <w:rPr>
        <w:rFonts w:hint="default"/>
      </w:rPr>
    </w:lvl>
    <w:lvl w:ilvl="1">
      <w:start w:val="2"/>
      <w:numFmt w:val="decimal"/>
      <w:lvlText w:val="%1.%2"/>
      <w:lvlJc w:val="left"/>
      <w:pPr>
        <w:ind w:left="710" w:hanging="53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8133A6B"/>
    <w:multiLevelType w:val="multilevel"/>
    <w:tmpl w:val="D3C2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24BEB"/>
    <w:multiLevelType w:val="hybridMultilevel"/>
    <w:tmpl w:val="2E50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97010"/>
    <w:multiLevelType w:val="hybridMultilevel"/>
    <w:tmpl w:val="B326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F29A0"/>
    <w:multiLevelType w:val="hybridMultilevel"/>
    <w:tmpl w:val="22604564"/>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03012"/>
    <w:multiLevelType w:val="multilevel"/>
    <w:tmpl w:val="A2D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565374"/>
    <w:multiLevelType w:val="hybridMultilevel"/>
    <w:tmpl w:val="8996B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F621661"/>
    <w:multiLevelType w:val="hybridMultilevel"/>
    <w:tmpl w:val="756C4D08"/>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7F065F"/>
    <w:multiLevelType w:val="hybridMultilevel"/>
    <w:tmpl w:val="57E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85F1F"/>
    <w:multiLevelType w:val="hybridMultilevel"/>
    <w:tmpl w:val="D2DE4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F7CEE"/>
    <w:multiLevelType w:val="hybridMultilevel"/>
    <w:tmpl w:val="26724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712C36"/>
    <w:multiLevelType w:val="hybridMultilevel"/>
    <w:tmpl w:val="AAB0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64FB1"/>
    <w:multiLevelType w:val="hybridMultilevel"/>
    <w:tmpl w:val="C8FC1CDA"/>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7798A"/>
    <w:multiLevelType w:val="hybridMultilevel"/>
    <w:tmpl w:val="640A4890"/>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802525"/>
    <w:multiLevelType w:val="multilevel"/>
    <w:tmpl w:val="18A6011A"/>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D92753"/>
    <w:multiLevelType w:val="hybridMultilevel"/>
    <w:tmpl w:val="02802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EE3F81"/>
    <w:multiLevelType w:val="hybridMultilevel"/>
    <w:tmpl w:val="E4FA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546140"/>
    <w:multiLevelType w:val="hybridMultilevel"/>
    <w:tmpl w:val="4800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5E412C"/>
    <w:multiLevelType w:val="hybridMultilevel"/>
    <w:tmpl w:val="E9063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41096A"/>
    <w:multiLevelType w:val="hybridMultilevel"/>
    <w:tmpl w:val="EE2A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C00DB8"/>
    <w:multiLevelType w:val="hybridMultilevel"/>
    <w:tmpl w:val="05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5603295">
    <w:abstractNumId w:val="0"/>
  </w:num>
  <w:num w:numId="2" w16cid:durableId="1618751399">
    <w:abstractNumId w:val="9"/>
  </w:num>
  <w:num w:numId="3" w16cid:durableId="1554150239">
    <w:abstractNumId w:val="32"/>
  </w:num>
  <w:num w:numId="4" w16cid:durableId="1208957949">
    <w:abstractNumId w:val="7"/>
  </w:num>
  <w:num w:numId="5" w16cid:durableId="379595118">
    <w:abstractNumId w:val="22"/>
  </w:num>
  <w:num w:numId="6" w16cid:durableId="418411297">
    <w:abstractNumId w:val="27"/>
  </w:num>
  <w:num w:numId="7" w16cid:durableId="4329098">
    <w:abstractNumId w:val="18"/>
  </w:num>
  <w:num w:numId="8" w16cid:durableId="2094663181">
    <w:abstractNumId w:val="21"/>
  </w:num>
  <w:num w:numId="9" w16cid:durableId="1664822124">
    <w:abstractNumId w:val="10"/>
  </w:num>
  <w:num w:numId="10" w16cid:durableId="16319318">
    <w:abstractNumId w:val="31"/>
  </w:num>
  <w:num w:numId="11" w16cid:durableId="424958249">
    <w:abstractNumId w:val="11"/>
  </w:num>
  <w:num w:numId="12" w16cid:durableId="1392584047">
    <w:abstractNumId w:val="17"/>
  </w:num>
  <w:num w:numId="13" w16cid:durableId="1428771977">
    <w:abstractNumId w:val="30"/>
  </w:num>
  <w:num w:numId="14" w16cid:durableId="1139882271">
    <w:abstractNumId w:val="1"/>
  </w:num>
  <w:num w:numId="15" w16cid:durableId="512306046">
    <w:abstractNumId w:val="16"/>
  </w:num>
  <w:num w:numId="16" w16cid:durableId="1109861629">
    <w:abstractNumId w:val="33"/>
  </w:num>
  <w:num w:numId="17" w16cid:durableId="909576871">
    <w:abstractNumId w:val="4"/>
  </w:num>
  <w:num w:numId="18" w16cid:durableId="1539077952">
    <w:abstractNumId w:val="19"/>
  </w:num>
  <w:num w:numId="19" w16cid:durableId="547497999">
    <w:abstractNumId w:val="2"/>
  </w:num>
  <w:num w:numId="20" w16cid:durableId="127170354">
    <w:abstractNumId w:val="34"/>
  </w:num>
  <w:num w:numId="21" w16cid:durableId="2055426993">
    <w:abstractNumId w:val="26"/>
  </w:num>
  <w:num w:numId="22" w16cid:durableId="1679187797">
    <w:abstractNumId w:val="5"/>
  </w:num>
  <w:num w:numId="23" w16cid:durableId="2113282379">
    <w:abstractNumId w:val="25"/>
  </w:num>
  <w:num w:numId="24" w16cid:durableId="1600260464">
    <w:abstractNumId w:val="13"/>
  </w:num>
  <w:num w:numId="25" w16cid:durableId="942884093">
    <w:abstractNumId w:val="28"/>
  </w:num>
  <w:num w:numId="26" w16cid:durableId="1489975607">
    <w:abstractNumId w:val="29"/>
  </w:num>
  <w:num w:numId="27" w16cid:durableId="614990895">
    <w:abstractNumId w:val="23"/>
  </w:num>
  <w:num w:numId="28" w16cid:durableId="498689831">
    <w:abstractNumId w:val="12"/>
  </w:num>
  <w:num w:numId="29" w16cid:durableId="415248909">
    <w:abstractNumId w:val="14"/>
  </w:num>
  <w:num w:numId="30" w16cid:durableId="1088649306">
    <w:abstractNumId w:val="15"/>
  </w:num>
  <w:num w:numId="31" w16cid:durableId="1594970507">
    <w:abstractNumId w:val="3"/>
  </w:num>
  <w:num w:numId="32" w16cid:durableId="1509438855">
    <w:abstractNumId w:val="20"/>
  </w:num>
  <w:num w:numId="33" w16cid:durableId="1639995646">
    <w:abstractNumId w:val="24"/>
  </w:num>
  <w:num w:numId="34" w16cid:durableId="1639409047">
    <w:abstractNumId w:val="8"/>
  </w:num>
  <w:num w:numId="35" w16cid:durableId="5045175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04AB2"/>
    <w:rsid w:val="000050EF"/>
    <w:rsid w:val="00005289"/>
    <w:rsid w:val="000109BC"/>
    <w:rsid w:val="0001100A"/>
    <w:rsid w:val="00011DF2"/>
    <w:rsid w:val="00013CC7"/>
    <w:rsid w:val="0001410D"/>
    <w:rsid w:val="00014692"/>
    <w:rsid w:val="00016D92"/>
    <w:rsid w:val="00017EA9"/>
    <w:rsid w:val="00021762"/>
    <w:rsid w:val="00025A3E"/>
    <w:rsid w:val="00026274"/>
    <w:rsid w:val="00036DDC"/>
    <w:rsid w:val="000417A3"/>
    <w:rsid w:val="000459BB"/>
    <w:rsid w:val="000460EC"/>
    <w:rsid w:val="00050670"/>
    <w:rsid w:val="00061012"/>
    <w:rsid w:val="00073F9B"/>
    <w:rsid w:val="0007616F"/>
    <w:rsid w:val="00084468"/>
    <w:rsid w:val="00085AFE"/>
    <w:rsid w:val="00085E04"/>
    <w:rsid w:val="00086749"/>
    <w:rsid w:val="000879F1"/>
    <w:rsid w:val="000A7452"/>
    <w:rsid w:val="000B0986"/>
    <w:rsid w:val="000B0E7D"/>
    <w:rsid w:val="000B6304"/>
    <w:rsid w:val="000C13D9"/>
    <w:rsid w:val="000C3AEF"/>
    <w:rsid w:val="000C4E09"/>
    <w:rsid w:val="000E273E"/>
    <w:rsid w:val="000E2C11"/>
    <w:rsid w:val="000E2F45"/>
    <w:rsid w:val="000E3BFE"/>
    <w:rsid w:val="001023CC"/>
    <w:rsid w:val="00103C7C"/>
    <w:rsid w:val="0011282A"/>
    <w:rsid w:val="00116ACF"/>
    <w:rsid w:val="00117E96"/>
    <w:rsid w:val="0012461C"/>
    <w:rsid w:val="00124D98"/>
    <w:rsid w:val="00126CF7"/>
    <w:rsid w:val="0013443C"/>
    <w:rsid w:val="00141404"/>
    <w:rsid w:val="001425FB"/>
    <w:rsid w:val="001453EE"/>
    <w:rsid w:val="00151B20"/>
    <w:rsid w:val="00151D42"/>
    <w:rsid w:val="0015364F"/>
    <w:rsid w:val="00170873"/>
    <w:rsid w:val="0017378F"/>
    <w:rsid w:val="00177127"/>
    <w:rsid w:val="001828FC"/>
    <w:rsid w:val="00182B22"/>
    <w:rsid w:val="00182B4B"/>
    <w:rsid w:val="001966BD"/>
    <w:rsid w:val="001A1264"/>
    <w:rsid w:val="001A3E09"/>
    <w:rsid w:val="001A4E2D"/>
    <w:rsid w:val="001A6CB4"/>
    <w:rsid w:val="001B6848"/>
    <w:rsid w:val="001B6BE0"/>
    <w:rsid w:val="001B6D27"/>
    <w:rsid w:val="001B7D8B"/>
    <w:rsid w:val="001C310B"/>
    <w:rsid w:val="001C3FA9"/>
    <w:rsid w:val="001C6623"/>
    <w:rsid w:val="001D18B1"/>
    <w:rsid w:val="001E73CC"/>
    <w:rsid w:val="001F0FE6"/>
    <w:rsid w:val="001F3EA4"/>
    <w:rsid w:val="001F47CC"/>
    <w:rsid w:val="001F7BD8"/>
    <w:rsid w:val="002060B4"/>
    <w:rsid w:val="00210A59"/>
    <w:rsid w:val="00226EF9"/>
    <w:rsid w:val="00227EBB"/>
    <w:rsid w:val="002301B0"/>
    <w:rsid w:val="00240EC9"/>
    <w:rsid w:val="00241790"/>
    <w:rsid w:val="00244786"/>
    <w:rsid w:val="00245850"/>
    <w:rsid w:val="002464B9"/>
    <w:rsid w:val="00246B8A"/>
    <w:rsid w:val="00252668"/>
    <w:rsid w:val="00253810"/>
    <w:rsid w:val="002547DC"/>
    <w:rsid w:val="00266737"/>
    <w:rsid w:val="002672F9"/>
    <w:rsid w:val="002708F8"/>
    <w:rsid w:val="002744A5"/>
    <w:rsid w:val="00280549"/>
    <w:rsid w:val="00282217"/>
    <w:rsid w:val="00282FA5"/>
    <w:rsid w:val="00283B88"/>
    <w:rsid w:val="0029413E"/>
    <w:rsid w:val="0029539D"/>
    <w:rsid w:val="00297C29"/>
    <w:rsid w:val="002A41B8"/>
    <w:rsid w:val="002A526A"/>
    <w:rsid w:val="002B008F"/>
    <w:rsid w:val="002B03CF"/>
    <w:rsid w:val="002C7843"/>
    <w:rsid w:val="002D4227"/>
    <w:rsid w:val="002E6207"/>
    <w:rsid w:val="002F0DC9"/>
    <w:rsid w:val="002F3A88"/>
    <w:rsid w:val="0030079D"/>
    <w:rsid w:val="00300EAB"/>
    <w:rsid w:val="00306448"/>
    <w:rsid w:val="003112A8"/>
    <w:rsid w:val="00312183"/>
    <w:rsid w:val="0032193A"/>
    <w:rsid w:val="003221B1"/>
    <w:rsid w:val="00330054"/>
    <w:rsid w:val="003300B7"/>
    <w:rsid w:val="003378C3"/>
    <w:rsid w:val="00343404"/>
    <w:rsid w:val="003448B5"/>
    <w:rsid w:val="00344BC2"/>
    <w:rsid w:val="00347838"/>
    <w:rsid w:val="00351704"/>
    <w:rsid w:val="0035346E"/>
    <w:rsid w:val="0035572B"/>
    <w:rsid w:val="003564DE"/>
    <w:rsid w:val="00357F24"/>
    <w:rsid w:val="0036244F"/>
    <w:rsid w:val="00365AEE"/>
    <w:rsid w:val="00370A21"/>
    <w:rsid w:val="00372D61"/>
    <w:rsid w:val="00373B43"/>
    <w:rsid w:val="0037762E"/>
    <w:rsid w:val="00377896"/>
    <w:rsid w:val="00380805"/>
    <w:rsid w:val="00384043"/>
    <w:rsid w:val="003B4DA8"/>
    <w:rsid w:val="003C07B8"/>
    <w:rsid w:val="003C432C"/>
    <w:rsid w:val="003D5C96"/>
    <w:rsid w:val="003E0CFA"/>
    <w:rsid w:val="003E1158"/>
    <w:rsid w:val="003E6444"/>
    <w:rsid w:val="003F554B"/>
    <w:rsid w:val="003F70F9"/>
    <w:rsid w:val="003F7E4D"/>
    <w:rsid w:val="004047F9"/>
    <w:rsid w:val="004141FB"/>
    <w:rsid w:val="00420475"/>
    <w:rsid w:val="00423BCA"/>
    <w:rsid w:val="00424DBB"/>
    <w:rsid w:val="00424EA8"/>
    <w:rsid w:val="004254BD"/>
    <w:rsid w:val="004269B5"/>
    <w:rsid w:val="00435238"/>
    <w:rsid w:val="0043783E"/>
    <w:rsid w:val="004436B3"/>
    <w:rsid w:val="004437A5"/>
    <w:rsid w:val="00444BC9"/>
    <w:rsid w:val="00444C44"/>
    <w:rsid w:val="00450CE1"/>
    <w:rsid w:val="00456ADC"/>
    <w:rsid w:val="00464635"/>
    <w:rsid w:val="00474536"/>
    <w:rsid w:val="0048065F"/>
    <w:rsid w:val="00483096"/>
    <w:rsid w:val="00484440"/>
    <w:rsid w:val="00485F5C"/>
    <w:rsid w:val="00487ED3"/>
    <w:rsid w:val="004911FC"/>
    <w:rsid w:val="00492741"/>
    <w:rsid w:val="004A18E8"/>
    <w:rsid w:val="004A3A4F"/>
    <w:rsid w:val="004A48CE"/>
    <w:rsid w:val="004B0195"/>
    <w:rsid w:val="004C5AB4"/>
    <w:rsid w:val="004D1B89"/>
    <w:rsid w:val="004D1E07"/>
    <w:rsid w:val="004D4F9A"/>
    <w:rsid w:val="004D593D"/>
    <w:rsid w:val="004E199B"/>
    <w:rsid w:val="004E687A"/>
    <w:rsid w:val="004F0075"/>
    <w:rsid w:val="004F49F7"/>
    <w:rsid w:val="00504C23"/>
    <w:rsid w:val="005067D5"/>
    <w:rsid w:val="00510D7E"/>
    <w:rsid w:val="00516E25"/>
    <w:rsid w:val="00523EA6"/>
    <w:rsid w:val="00524B34"/>
    <w:rsid w:val="00524BA8"/>
    <w:rsid w:val="0052597C"/>
    <w:rsid w:val="005259CC"/>
    <w:rsid w:val="00533DB4"/>
    <w:rsid w:val="005358D5"/>
    <w:rsid w:val="005365E0"/>
    <w:rsid w:val="00542FE7"/>
    <w:rsid w:val="00546B45"/>
    <w:rsid w:val="00554EF4"/>
    <w:rsid w:val="00564CCC"/>
    <w:rsid w:val="005665E5"/>
    <w:rsid w:val="00566FDB"/>
    <w:rsid w:val="00571484"/>
    <w:rsid w:val="00573263"/>
    <w:rsid w:val="005742CE"/>
    <w:rsid w:val="00583ADE"/>
    <w:rsid w:val="00583B72"/>
    <w:rsid w:val="00585E27"/>
    <w:rsid w:val="00587170"/>
    <w:rsid w:val="00590B56"/>
    <w:rsid w:val="00596BC8"/>
    <w:rsid w:val="005A130C"/>
    <w:rsid w:val="005A3220"/>
    <w:rsid w:val="005B02DF"/>
    <w:rsid w:val="005B2DF2"/>
    <w:rsid w:val="005B3CE2"/>
    <w:rsid w:val="005B7370"/>
    <w:rsid w:val="005B7BCD"/>
    <w:rsid w:val="005C1E3C"/>
    <w:rsid w:val="005C5808"/>
    <w:rsid w:val="005C6094"/>
    <w:rsid w:val="005D285C"/>
    <w:rsid w:val="005E0786"/>
    <w:rsid w:val="005E086A"/>
    <w:rsid w:val="005F219B"/>
    <w:rsid w:val="005F5B72"/>
    <w:rsid w:val="006142C8"/>
    <w:rsid w:val="006314D3"/>
    <w:rsid w:val="00632F4D"/>
    <w:rsid w:val="00633439"/>
    <w:rsid w:val="00634CCF"/>
    <w:rsid w:val="006354C5"/>
    <w:rsid w:val="006410E8"/>
    <w:rsid w:val="00642B94"/>
    <w:rsid w:val="00642C12"/>
    <w:rsid w:val="006438E5"/>
    <w:rsid w:val="0064481A"/>
    <w:rsid w:val="006463F7"/>
    <w:rsid w:val="006464B1"/>
    <w:rsid w:val="0065514F"/>
    <w:rsid w:val="00664245"/>
    <w:rsid w:val="00671955"/>
    <w:rsid w:val="006729A6"/>
    <w:rsid w:val="00676D51"/>
    <w:rsid w:val="00683B32"/>
    <w:rsid w:val="006864F0"/>
    <w:rsid w:val="00691531"/>
    <w:rsid w:val="00691C79"/>
    <w:rsid w:val="006927D8"/>
    <w:rsid w:val="00694688"/>
    <w:rsid w:val="00694982"/>
    <w:rsid w:val="00697EA1"/>
    <w:rsid w:val="006A0A81"/>
    <w:rsid w:val="006A1389"/>
    <w:rsid w:val="006B0A39"/>
    <w:rsid w:val="006B3804"/>
    <w:rsid w:val="006C15D3"/>
    <w:rsid w:val="006C1EB4"/>
    <w:rsid w:val="006C337B"/>
    <w:rsid w:val="006C4CF8"/>
    <w:rsid w:val="006C723C"/>
    <w:rsid w:val="006D034C"/>
    <w:rsid w:val="006D3A15"/>
    <w:rsid w:val="006D48D7"/>
    <w:rsid w:val="006D4BBB"/>
    <w:rsid w:val="006E01C8"/>
    <w:rsid w:val="006E19BC"/>
    <w:rsid w:val="006E2107"/>
    <w:rsid w:val="006E4125"/>
    <w:rsid w:val="006E55F6"/>
    <w:rsid w:val="006E5715"/>
    <w:rsid w:val="006E649A"/>
    <w:rsid w:val="006F3831"/>
    <w:rsid w:val="00700823"/>
    <w:rsid w:val="00701926"/>
    <w:rsid w:val="00705B77"/>
    <w:rsid w:val="007079AF"/>
    <w:rsid w:val="00710631"/>
    <w:rsid w:val="00711058"/>
    <w:rsid w:val="0071252B"/>
    <w:rsid w:val="00713383"/>
    <w:rsid w:val="007155DD"/>
    <w:rsid w:val="00716A47"/>
    <w:rsid w:val="0072429B"/>
    <w:rsid w:val="00724EE0"/>
    <w:rsid w:val="00727F6E"/>
    <w:rsid w:val="0073220A"/>
    <w:rsid w:val="0073305D"/>
    <w:rsid w:val="007367F2"/>
    <w:rsid w:val="007373DA"/>
    <w:rsid w:val="00747E0D"/>
    <w:rsid w:val="0075506C"/>
    <w:rsid w:val="007562EC"/>
    <w:rsid w:val="00757AE9"/>
    <w:rsid w:val="007813B0"/>
    <w:rsid w:val="007903BD"/>
    <w:rsid w:val="00792118"/>
    <w:rsid w:val="007922D0"/>
    <w:rsid w:val="00794234"/>
    <w:rsid w:val="007942C4"/>
    <w:rsid w:val="00795A0C"/>
    <w:rsid w:val="00797696"/>
    <w:rsid w:val="007A0502"/>
    <w:rsid w:val="007A590D"/>
    <w:rsid w:val="007A6467"/>
    <w:rsid w:val="007B1F46"/>
    <w:rsid w:val="007B2853"/>
    <w:rsid w:val="007B3D8E"/>
    <w:rsid w:val="007B4664"/>
    <w:rsid w:val="007B76EB"/>
    <w:rsid w:val="007C0912"/>
    <w:rsid w:val="007D1F9C"/>
    <w:rsid w:val="007D684B"/>
    <w:rsid w:val="007E3C35"/>
    <w:rsid w:val="007E3C5A"/>
    <w:rsid w:val="007F5783"/>
    <w:rsid w:val="00800CDB"/>
    <w:rsid w:val="008154A3"/>
    <w:rsid w:val="00817B86"/>
    <w:rsid w:val="00821417"/>
    <w:rsid w:val="008228B0"/>
    <w:rsid w:val="008229E2"/>
    <w:rsid w:val="008259E9"/>
    <w:rsid w:val="00834EA7"/>
    <w:rsid w:val="008365EE"/>
    <w:rsid w:val="008368FE"/>
    <w:rsid w:val="008402E4"/>
    <w:rsid w:val="00843117"/>
    <w:rsid w:val="008437AB"/>
    <w:rsid w:val="00845EDB"/>
    <w:rsid w:val="00850236"/>
    <w:rsid w:val="0085521E"/>
    <w:rsid w:val="008553AC"/>
    <w:rsid w:val="00861BB4"/>
    <w:rsid w:val="00861DB3"/>
    <w:rsid w:val="00865E81"/>
    <w:rsid w:val="008664D4"/>
    <w:rsid w:val="0086684F"/>
    <w:rsid w:val="008755D1"/>
    <w:rsid w:val="008779BC"/>
    <w:rsid w:val="0088092E"/>
    <w:rsid w:val="008814CF"/>
    <w:rsid w:val="00881E27"/>
    <w:rsid w:val="008826AE"/>
    <w:rsid w:val="008863F7"/>
    <w:rsid w:val="00886D89"/>
    <w:rsid w:val="00890679"/>
    <w:rsid w:val="0089335C"/>
    <w:rsid w:val="008935A2"/>
    <w:rsid w:val="00895ACB"/>
    <w:rsid w:val="00895F2E"/>
    <w:rsid w:val="008A5B6D"/>
    <w:rsid w:val="008B3F20"/>
    <w:rsid w:val="008B6287"/>
    <w:rsid w:val="008C2D5C"/>
    <w:rsid w:val="008C423C"/>
    <w:rsid w:val="008D01B6"/>
    <w:rsid w:val="008D0269"/>
    <w:rsid w:val="008D5AE8"/>
    <w:rsid w:val="008D6C37"/>
    <w:rsid w:val="008E2053"/>
    <w:rsid w:val="008E47E3"/>
    <w:rsid w:val="008E4F8C"/>
    <w:rsid w:val="008E7039"/>
    <w:rsid w:val="009026E0"/>
    <w:rsid w:val="009077A3"/>
    <w:rsid w:val="00944519"/>
    <w:rsid w:val="009465DD"/>
    <w:rsid w:val="00954700"/>
    <w:rsid w:val="00954CB6"/>
    <w:rsid w:val="009564B2"/>
    <w:rsid w:val="009603EC"/>
    <w:rsid w:val="009616A9"/>
    <w:rsid w:val="00962E12"/>
    <w:rsid w:val="00965913"/>
    <w:rsid w:val="00971EAB"/>
    <w:rsid w:val="00975134"/>
    <w:rsid w:val="00977E53"/>
    <w:rsid w:val="0098370B"/>
    <w:rsid w:val="0099034A"/>
    <w:rsid w:val="009934FF"/>
    <w:rsid w:val="00994B9F"/>
    <w:rsid w:val="009A3C5E"/>
    <w:rsid w:val="009A7DC5"/>
    <w:rsid w:val="009B1146"/>
    <w:rsid w:val="009B40C6"/>
    <w:rsid w:val="009B6F7E"/>
    <w:rsid w:val="009B77B5"/>
    <w:rsid w:val="009C3356"/>
    <w:rsid w:val="009C5CB4"/>
    <w:rsid w:val="009D0FC5"/>
    <w:rsid w:val="009D1859"/>
    <w:rsid w:val="009D6593"/>
    <w:rsid w:val="009E2C57"/>
    <w:rsid w:val="009F57D5"/>
    <w:rsid w:val="009F62C7"/>
    <w:rsid w:val="00A041BE"/>
    <w:rsid w:val="00A04FC0"/>
    <w:rsid w:val="00A10C08"/>
    <w:rsid w:val="00A12FAD"/>
    <w:rsid w:val="00A137E7"/>
    <w:rsid w:val="00A21112"/>
    <w:rsid w:val="00A2195A"/>
    <w:rsid w:val="00A2653C"/>
    <w:rsid w:val="00A34439"/>
    <w:rsid w:val="00A405BB"/>
    <w:rsid w:val="00A40D2F"/>
    <w:rsid w:val="00A427E0"/>
    <w:rsid w:val="00A50FDC"/>
    <w:rsid w:val="00A5222B"/>
    <w:rsid w:val="00A54A97"/>
    <w:rsid w:val="00A6402D"/>
    <w:rsid w:val="00A701BD"/>
    <w:rsid w:val="00A754AF"/>
    <w:rsid w:val="00A80A62"/>
    <w:rsid w:val="00A8562C"/>
    <w:rsid w:val="00A8649E"/>
    <w:rsid w:val="00AA3EF8"/>
    <w:rsid w:val="00AA41A7"/>
    <w:rsid w:val="00AA65E0"/>
    <w:rsid w:val="00AB1797"/>
    <w:rsid w:val="00AB2D68"/>
    <w:rsid w:val="00AB374B"/>
    <w:rsid w:val="00AB6247"/>
    <w:rsid w:val="00AC1CA3"/>
    <w:rsid w:val="00AC6544"/>
    <w:rsid w:val="00AD01EF"/>
    <w:rsid w:val="00AD0C04"/>
    <w:rsid w:val="00AD2847"/>
    <w:rsid w:val="00AD341D"/>
    <w:rsid w:val="00AD5497"/>
    <w:rsid w:val="00AE1F08"/>
    <w:rsid w:val="00AE2ABF"/>
    <w:rsid w:val="00AE6004"/>
    <w:rsid w:val="00AF0B28"/>
    <w:rsid w:val="00AF323E"/>
    <w:rsid w:val="00AF3BDB"/>
    <w:rsid w:val="00AF3F0E"/>
    <w:rsid w:val="00AF4ACE"/>
    <w:rsid w:val="00B07AB0"/>
    <w:rsid w:val="00B2682A"/>
    <w:rsid w:val="00B276A3"/>
    <w:rsid w:val="00B318D0"/>
    <w:rsid w:val="00B47907"/>
    <w:rsid w:val="00B517C4"/>
    <w:rsid w:val="00B57E46"/>
    <w:rsid w:val="00B610B9"/>
    <w:rsid w:val="00B64CE5"/>
    <w:rsid w:val="00B67992"/>
    <w:rsid w:val="00B70B82"/>
    <w:rsid w:val="00B731F3"/>
    <w:rsid w:val="00B74C61"/>
    <w:rsid w:val="00B870B7"/>
    <w:rsid w:val="00B9433D"/>
    <w:rsid w:val="00B958E5"/>
    <w:rsid w:val="00B97C02"/>
    <w:rsid w:val="00BA0A17"/>
    <w:rsid w:val="00BA4483"/>
    <w:rsid w:val="00BB2BF2"/>
    <w:rsid w:val="00BB7E48"/>
    <w:rsid w:val="00BC3C78"/>
    <w:rsid w:val="00BC6FFC"/>
    <w:rsid w:val="00BC769E"/>
    <w:rsid w:val="00BD344C"/>
    <w:rsid w:val="00BD592D"/>
    <w:rsid w:val="00BE0B0F"/>
    <w:rsid w:val="00BE3801"/>
    <w:rsid w:val="00BF5628"/>
    <w:rsid w:val="00BF67A7"/>
    <w:rsid w:val="00C01D84"/>
    <w:rsid w:val="00C01E78"/>
    <w:rsid w:val="00C05DCD"/>
    <w:rsid w:val="00C12438"/>
    <w:rsid w:val="00C12703"/>
    <w:rsid w:val="00C21793"/>
    <w:rsid w:val="00C31FBF"/>
    <w:rsid w:val="00C35A5D"/>
    <w:rsid w:val="00C3721F"/>
    <w:rsid w:val="00C440D7"/>
    <w:rsid w:val="00C52072"/>
    <w:rsid w:val="00C52204"/>
    <w:rsid w:val="00C62FB3"/>
    <w:rsid w:val="00C719C4"/>
    <w:rsid w:val="00C727DA"/>
    <w:rsid w:val="00C760E9"/>
    <w:rsid w:val="00C76C55"/>
    <w:rsid w:val="00C76D85"/>
    <w:rsid w:val="00C77359"/>
    <w:rsid w:val="00C84281"/>
    <w:rsid w:val="00C867B1"/>
    <w:rsid w:val="00C95439"/>
    <w:rsid w:val="00C9662C"/>
    <w:rsid w:val="00CA020C"/>
    <w:rsid w:val="00CA1917"/>
    <w:rsid w:val="00CA4EFC"/>
    <w:rsid w:val="00CA5A9E"/>
    <w:rsid w:val="00CA6030"/>
    <w:rsid w:val="00CA714E"/>
    <w:rsid w:val="00CB1841"/>
    <w:rsid w:val="00CB1E34"/>
    <w:rsid w:val="00CB21BA"/>
    <w:rsid w:val="00CB6459"/>
    <w:rsid w:val="00CC0367"/>
    <w:rsid w:val="00CC7446"/>
    <w:rsid w:val="00CD12DC"/>
    <w:rsid w:val="00CD21DD"/>
    <w:rsid w:val="00CD27B3"/>
    <w:rsid w:val="00CD5B80"/>
    <w:rsid w:val="00CD633A"/>
    <w:rsid w:val="00CD7D1D"/>
    <w:rsid w:val="00CE4F43"/>
    <w:rsid w:val="00CE5309"/>
    <w:rsid w:val="00CE78CA"/>
    <w:rsid w:val="00CF24D5"/>
    <w:rsid w:val="00D004C2"/>
    <w:rsid w:val="00D0145B"/>
    <w:rsid w:val="00D13A2B"/>
    <w:rsid w:val="00D14CBB"/>
    <w:rsid w:val="00D16AA6"/>
    <w:rsid w:val="00D17239"/>
    <w:rsid w:val="00D201F5"/>
    <w:rsid w:val="00D21275"/>
    <w:rsid w:val="00D22D58"/>
    <w:rsid w:val="00D2448D"/>
    <w:rsid w:val="00D32117"/>
    <w:rsid w:val="00D33ABD"/>
    <w:rsid w:val="00D350DA"/>
    <w:rsid w:val="00D36C4E"/>
    <w:rsid w:val="00D40B91"/>
    <w:rsid w:val="00D467C7"/>
    <w:rsid w:val="00D473A5"/>
    <w:rsid w:val="00D51DFF"/>
    <w:rsid w:val="00D5572E"/>
    <w:rsid w:val="00D60025"/>
    <w:rsid w:val="00D701A9"/>
    <w:rsid w:val="00D70E95"/>
    <w:rsid w:val="00D727D6"/>
    <w:rsid w:val="00D75436"/>
    <w:rsid w:val="00D76CD9"/>
    <w:rsid w:val="00D81A7D"/>
    <w:rsid w:val="00D85446"/>
    <w:rsid w:val="00D864B4"/>
    <w:rsid w:val="00D920E6"/>
    <w:rsid w:val="00D95084"/>
    <w:rsid w:val="00DA4096"/>
    <w:rsid w:val="00DA5253"/>
    <w:rsid w:val="00DB5A0D"/>
    <w:rsid w:val="00DB735E"/>
    <w:rsid w:val="00DC1D07"/>
    <w:rsid w:val="00DC2D3D"/>
    <w:rsid w:val="00DC4E2E"/>
    <w:rsid w:val="00DC5FA6"/>
    <w:rsid w:val="00DD0E62"/>
    <w:rsid w:val="00DE24CE"/>
    <w:rsid w:val="00DE31F7"/>
    <w:rsid w:val="00DE5021"/>
    <w:rsid w:val="00DE5600"/>
    <w:rsid w:val="00DE5B23"/>
    <w:rsid w:val="00DF154E"/>
    <w:rsid w:val="00DF7096"/>
    <w:rsid w:val="00E05CDF"/>
    <w:rsid w:val="00E132C4"/>
    <w:rsid w:val="00E212E4"/>
    <w:rsid w:val="00E21D53"/>
    <w:rsid w:val="00E25577"/>
    <w:rsid w:val="00E36030"/>
    <w:rsid w:val="00E51CBB"/>
    <w:rsid w:val="00E5625E"/>
    <w:rsid w:val="00E56973"/>
    <w:rsid w:val="00E5732A"/>
    <w:rsid w:val="00E60CAE"/>
    <w:rsid w:val="00E729A6"/>
    <w:rsid w:val="00E76E08"/>
    <w:rsid w:val="00E816A2"/>
    <w:rsid w:val="00E826AC"/>
    <w:rsid w:val="00E8293A"/>
    <w:rsid w:val="00E868D8"/>
    <w:rsid w:val="00E911A5"/>
    <w:rsid w:val="00E929A4"/>
    <w:rsid w:val="00E94268"/>
    <w:rsid w:val="00EA54C7"/>
    <w:rsid w:val="00EB187B"/>
    <w:rsid w:val="00EB1CB0"/>
    <w:rsid w:val="00EB75FB"/>
    <w:rsid w:val="00EB785B"/>
    <w:rsid w:val="00EC0D16"/>
    <w:rsid w:val="00EC6D3E"/>
    <w:rsid w:val="00ED2630"/>
    <w:rsid w:val="00ED4CAD"/>
    <w:rsid w:val="00ED5DA6"/>
    <w:rsid w:val="00ED7C30"/>
    <w:rsid w:val="00EF25DE"/>
    <w:rsid w:val="00EF480F"/>
    <w:rsid w:val="00EF5672"/>
    <w:rsid w:val="00EF61FB"/>
    <w:rsid w:val="00F03EE8"/>
    <w:rsid w:val="00F108FE"/>
    <w:rsid w:val="00F10F9F"/>
    <w:rsid w:val="00F116A3"/>
    <w:rsid w:val="00F11F38"/>
    <w:rsid w:val="00F145EE"/>
    <w:rsid w:val="00F17F81"/>
    <w:rsid w:val="00F26A67"/>
    <w:rsid w:val="00F3458E"/>
    <w:rsid w:val="00F37454"/>
    <w:rsid w:val="00F46B01"/>
    <w:rsid w:val="00F47C84"/>
    <w:rsid w:val="00F47D44"/>
    <w:rsid w:val="00F5289F"/>
    <w:rsid w:val="00F5338F"/>
    <w:rsid w:val="00F55109"/>
    <w:rsid w:val="00F701D1"/>
    <w:rsid w:val="00F818C1"/>
    <w:rsid w:val="00F9437B"/>
    <w:rsid w:val="00F943F7"/>
    <w:rsid w:val="00FA1655"/>
    <w:rsid w:val="00FA71B9"/>
    <w:rsid w:val="00FA749B"/>
    <w:rsid w:val="00FB1CD0"/>
    <w:rsid w:val="00FB5C23"/>
    <w:rsid w:val="00FB7257"/>
    <w:rsid w:val="00FB73AD"/>
    <w:rsid w:val="00FC45B2"/>
    <w:rsid w:val="00FC5DC8"/>
    <w:rsid w:val="00FD26A3"/>
    <w:rsid w:val="00FD30E7"/>
    <w:rsid w:val="00FD4547"/>
    <w:rsid w:val="00FE54D3"/>
    <w:rsid w:val="00FE6514"/>
    <w:rsid w:val="00FE731F"/>
    <w:rsid w:val="00FF0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DF5CD40"/>
  <w15:chartTrackingRefBased/>
  <w15:docId w15:val="{F3083B2F-34EA-4B42-BEC6-9D47C4EF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34"/>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 w:type="character" w:styleId="CommentReference">
    <w:name w:val="annotation reference"/>
    <w:rsid w:val="00246B8A"/>
    <w:rPr>
      <w:sz w:val="16"/>
      <w:szCs w:val="16"/>
    </w:rPr>
  </w:style>
  <w:style w:type="paragraph" w:styleId="CommentText">
    <w:name w:val="annotation text"/>
    <w:basedOn w:val="Normal"/>
    <w:link w:val="CommentTextChar"/>
    <w:rsid w:val="00246B8A"/>
    <w:rPr>
      <w:sz w:val="20"/>
      <w:szCs w:val="20"/>
    </w:rPr>
  </w:style>
  <w:style w:type="character" w:customStyle="1" w:styleId="CommentTextChar">
    <w:name w:val="Comment Text Char"/>
    <w:link w:val="CommentText"/>
    <w:rsid w:val="00246B8A"/>
    <w:rPr>
      <w:rFonts w:ascii="Arial" w:hAnsi="Arial"/>
      <w:lang w:eastAsia="en-US"/>
    </w:rPr>
  </w:style>
  <w:style w:type="paragraph" w:styleId="CommentSubject">
    <w:name w:val="annotation subject"/>
    <w:basedOn w:val="CommentText"/>
    <w:next w:val="CommentText"/>
    <w:link w:val="CommentSubjectChar"/>
    <w:rsid w:val="00246B8A"/>
    <w:rPr>
      <w:b/>
      <w:bCs/>
    </w:rPr>
  </w:style>
  <w:style w:type="character" w:customStyle="1" w:styleId="CommentSubjectChar">
    <w:name w:val="Comment Subject Char"/>
    <w:link w:val="CommentSubject"/>
    <w:rsid w:val="00246B8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626">
      <w:bodyDiv w:val="1"/>
      <w:marLeft w:val="0"/>
      <w:marRight w:val="0"/>
      <w:marTop w:val="0"/>
      <w:marBottom w:val="0"/>
      <w:divBdr>
        <w:top w:val="none" w:sz="0" w:space="0" w:color="auto"/>
        <w:left w:val="none" w:sz="0" w:space="0" w:color="auto"/>
        <w:bottom w:val="none" w:sz="0" w:space="0" w:color="auto"/>
        <w:right w:val="none" w:sz="0" w:space="0" w:color="auto"/>
      </w:divBdr>
    </w:div>
    <w:div w:id="16272099">
      <w:bodyDiv w:val="1"/>
      <w:marLeft w:val="0"/>
      <w:marRight w:val="0"/>
      <w:marTop w:val="0"/>
      <w:marBottom w:val="0"/>
      <w:divBdr>
        <w:top w:val="none" w:sz="0" w:space="0" w:color="auto"/>
        <w:left w:val="none" w:sz="0" w:space="0" w:color="auto"/>
        <w:bottom w:val="none" w:sz="0" w:space="0" w:color="auto"/>
        <w:right w:val="none" w:sz="0" w:space="0" w:color="auto"/>
      </w:divBdr>
    </w:div>
    <w:div w:id="26221755">
      <w:bodyDiv w:val="1"/>
      <w:marLeft w:val="0"/>
      <w:marRight w:val="0"/>
      <w:marTop w:val="0"/>
      <w:marBottom w:val="0"/>
      <w:divBdr>
        <w:top w:val="none" w:sz="0" w:space="0" w:color="auto"/>
        <w:left w:val="none" w:sz="0" w:space="0" w:color="auto"/>
        <w:bottom w:val="none" w:sz="0" w:space="0" w:color="auto"/>
        <w:right w:val="none" w:sz="0" w:space="0" w:color="auto"/>
      </w:divBdr>
    </w:div>
    <w:div w:id="50081037">
      <w:bodyDiv w:val="1"/>
      <w:marLeft w:val="0"/>
      <w:marRight w:val="0"/>
      <w:marTop w:val="0"/>
      <w:marBottom w:val="0"/>
      <w:divBdr>
        <w:top w:val="none" w:sz="0" w:space="0" w:color="auto"/>
        <w:left w:val="none" w:sz="0" w:space="0" w:color="auto"/>
        <w:bottom w:val="none" w:sz="0" w:space="0" w:color="auto"/>
        <w:right w:val="none" w:sz="0" w:space="0" w:color="auto"/>
      </w:divBdr>
    </w:div>
    <w:div w:id="155465443">
      <w:bodyDiv w:val="1"/>
      <w:marLeft w:val="0"/>
      <w:marRight w:val="0"/>
      <w:marTop w:val="0"/>
      <w:marBottom w:val="0"/>
      <w:divBdr>
        <w:top w:val="none" w:sz="0" w:space="0" w:color="auto"/>
        <w:left w:val="none" w:sz="0" w:space="0" w:color="auto"/>
        <w:bottom w:val="none" w:sz="0" w:space="0" w:color="auto"/>
        <w:right w:val="none" w:sz="0" w:space="0" w:color="auto"/>
      </w:divBdr>
    </w:div>
    <w:div w:id="175192160">
      <w:bodyDiv w:val="1"/>
      <w:marLeft w:val="0"/>
      <w:marRight w:val="0"/>
      <w:marTop w:val="0"/>
      <w:marBottom w:val="0"/>
      <w:divBdr>
        <w:top w:val="none" w:sz="0" w:space="0" w:color="auto"/>
        <w:left w:val="none" w:sz="0" w:space="0" w:color="auto"/>
        <w:bottom w:val="none" w:sz="0" w:space="0" w:color="auto"/>
        <w:right w:val="none" w:sz="0" w:space="0" w:color="auto"/>
      </w:divBdr>
    </w:div>
    <w:div w:id="183979559">
      <w:bodyDiv w:val="1"/>
      <w:marLeft w:val="0"/>
      <w:marRight w:val="0"/>
      <w:marTop w:val="0"/>
      <w:marBottom w:val="0"/>
      <w:divBdr>
        <w:top w:val="none" w:sz="0" w:space="0" w:color="auto"/>
        <w:left w:val="none" w:sz="0" w:space="0" w:color="auto"/>
        <w:bottom w:val="none" w:sz="0" w:space="0" w:color="auto"/>
        <w:right w:val="none" w:sz="0" w:space="0" w:color="auto"/>
      </w:divBdr>
      <w:divsChild>
        <w:div w:id="240675427">
          <w:marLeft w:val="0"/>
          <w:marRight w:val="0"/>
          <w:marTop w:val="0"/>
          <w:marBottom w:val="0"/>
          <w:divBdr>
            <w:top w:val="none" w:sz="0" w:space="0" w:color="auto"/>
            <w:left w:val="none" w:sz="0" w:space="0" w:color="auto"/>
            <w:bottom w:val="none" w:sz="0" w:space="0" w:color="auto"/>
            <w:right w:val="none" w:sz="0" w:space="0" w:color="auto"/>
          </w:divBdr>
          <w:divsChild>
            <w:div w:id="132842863">
              <w:marLeft w:val="0"/>
              <w:marRight w:val="0"/>
              <w:marTop w:val="0"/>
              <w:marBottom w:val="0"/>
              <w:divBdr>
                <w:top w:val="none" w:sz="0" w:space="0" w:color="auto"/>
                <w:left w:val="none" w:sz="0" w:space="0" w:color="auto"/>
                <w:bottom w:val="none" w:sz="0" w:space="0" w:color="auto"/>
                <w:right w:val="none" w:sz="0" w:space="0" w:color="auto"/>
              </w:divBdr>
              <w:divsChild>
                <w:div w:id="1394427168">
                  <w:marLeft w:val="0"/>
                  <w:marRight w:val="0"/>
                  <w:marTop w:val="0"/>
                  <w:marBottom w:val="0"/>
                  <w:divBdr>
                    <w:top w:val="none" w:sz="0" w:space="0" w:color="auto"/>
                    <w:left w:val="none" w:sz="0" w:space="0" w:color="auto"/>
                    <w:bottom w:val="none" w:sz="0" w:space="0" w:color="auto"/>
                    <w:right w:val="none" w:sz="0" w:space="0" w:color="auto"/>
                  </w:divBdr>
                  <w:divsChild>
                    <w:div w:id="644547600">
                      <w:marLeft w:val="0"/>
                      <w:marRight w:val="0"/>
                      <w:marTop w:val="0"/>
                      <w:marBottom w:val="0"/>
                      <w:divBdr>
                        <w:top w:val="none" w:sz="0" w:space="0" w:color="auto"/>
                        <w:left w:val="none" w:sz="0" w:space="0" w:color="auto"/>
                        <w:bottom w:val="none" w:sz="0" w:space="0" w:color="auto"/>
                        <w:right w:val="none" w:sz="0" w:space="0" w:color="auto"/>
                      </w:divBdr>
                      <w:divsChild>
                        <w:div w:id="1876918095">
                          <w:marLeft w:val="0"/>
                          <w:marRight w:val="0"/>
                          <w:marTop w:val="0"/>
                          <w:marBottom w:val="0"/>
                          <w:divBdr>
                            <w:top w:val="none" w:sz="0" w:space="0" w:color="auto"/>
                            <w:left w:val="none" w:sz="0" w:space="0" w:color="auto"/>
                            <w:bottom w:val="none" w:sz="0" w:space="0" w:color="auto"/>
                            <w:right w:val="none" w:sz="0" w:space="0" w:color="auto"/>
                          </w:divBdr>
                          <w:divsChild>
                            <w:div w:id="4313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088126">
      <w:bodyDiv w:val="1"/>
      <w:marLeft w:val="0"/>
      <w:marRight w:val="0"/>
      <w:marTop w:val="0"/>
      <w:marBottom w:val="0"/>
      <w:divBdr>
        <w:top w:val="none" w:sz="0" w:space="0" w:color="auto"/>
        <w:left w:val="none" w:sz="0" w:space="0" w:color="auto"/>
        <w:bottom w:val="none" w:sz="0" w:space="0" w:color="auto"/>
        <w:right w:val="none" w:sz="0" w:space="0" w:color="auto"/>
      </w:divBdr>
      <w:divsChild>
        <w:div w:id="412168739">
          <w:marLeft w:val="0"/>
          <w:marRight w:val="0"/>
          <w:marTop w:val="0"/>
          <w:marBottom w:val="0"/>
          <w:divBdr>
            <w:top w:val="none" w:sz="0" w:space="0" w:color="auto"/>
            <w:left w:val="none" w:sz="0" w:space="0" w:color="auto"/>
            <w:bottom w:val="none" w:sz="0" w:space="0" w:color="auto"/>
            <w:right w:val="none" w:sz="0" w:space="0" w:color="auto"/>
          </w:divBdr>
          <w:divsChild>
            <w:div w:id="1115715126">
              <w:marLeft w:val="0"/>
              <w:marRight w:val="0"/>
              <w:marTop w:val="0"/>
              <w:marBottom w:val="0"/>
              <w:divBdr>
                <w:top w:val="none" w:sz="0" w:space="0" w:color="auto"/>
                <w:left w:val="none" w:sz="0" w:space="0" w:color="auto"/>
                <w:bottom w:val="none" w:sz="0" w:space="0" w:color="auto"/>
                <w:right w:val="none" w:sz="0" w:space="0" w:color="auto"/>
              </w:divBdr>
              <w:divsChild>
                <w:div w:id="103966569">
                  <w:marLeft w:val="0"/>
                  <w:marRight w:val="0"/>
                  <w:marTop w:val="0"/>
                  <w:marBottom w:val="0"/>
                  <w:divBdr>
                    <w:top w:val="none" w:sz="0" w:space="0" w:color="auto"/>
                    <w:left w:val="none" w:sz="0" w:space="0" w:color="auto"/>
                    <w:bottom w:val="none" w:sz="0" w:space="0" w:color="auto"/>
                    <w:right w:val="none" w:sz="0" w:space="0" w:color="auto"/>
                  </w:divBdr>
                  <w:divsChild>
                    <w:div w:id="1296372027">
                      <w:marLeft w:val="0"/>
                      <w:marRight w:val="0"/>
                      <w:marTop w:val="0"/>
                      <w:marBottom w:val="0"/>
                      <w:divBdr>
                        <w:top w:val="none" w:sz="0" w:space="0" w:color="auto"/>
                        <w:left w:val="none" w:sz="0" w:space="0" w:color="auto"/>
                        <w:bottom w:val="none" w:sz="0" w:space="0" w:color="auto"/>
                        <w:right w:val="none" w:sz="0" w:space="0" w:color="auto"/>
                      </w:divBdr>
                      <w:divsChild>
                        <w:div w:id="1990010881">
                          <w:marLeft w:val="0"/>
                          <w:marRight w:val="0"/>
                          <w:marTop w:val="0"/>
                          <w:marBottom w:val="0"/>
                          <w:divBdr>
                            <w:top w:val="none" w:sz="0" w:space="0" w:color="auto"/>
                            <w:left w:val="none" w:sz="0" w:space="0" w:color="auto"/>
                            <w:bottom w:val="none" w:sz="0" w:space="0" w:color="auto"/>
                            <w:right w:val="none" w:sz="0" w:space="0" w:color="auto"/>
                          </w:divBdr>
                          <w:divsChild>
                            <w:div w:id="60171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13317">
      <w:bodyDiv w:val="1"/>
      <w:marLeft w:val="0"/>
      <w:marRight w:val="0"/>
      <w:marTop w:val="0"/>
      <w:marBottom w:val="0"/>
      <w:divBdr>
        <w:top w:val="none" w:sz="0" w:space="0" w:color="auto"/>
        <w:left w:val="none" w:sz="0" w:space="0" w:color="auto"/>
        <w:bottom w:val="none" w:sz="0" w:space="0" w:color="auto"/>
        <w:right w:val="none" w:sz="0" w:space="0" w:color="auto"/>
      </w:divBdr>
    </w:div>
    <w:div w:id="360519378">
      <w:bodyDiv w:val="1"/>
      <w:marLeft w:val="0"/>
      <w:marRight w:val="0"/>
      <w:marTop w:val="0"/>
      <w:marBottom w:val="0"/>
      <w:divBdr>
        <w:top w:val="none" w:sz="0" w:space="0" w:color="auto"/>
        <w:left w:val="none" w:sz="0" w:space="0" w:color="auto"/>
        <w:bottom w:val="none" w:sz="0" w:space="0" w:color="auto"/>
        <w:right w:val="none" w:sz="0" w:space="0" w:color="auto"/>
      </w:divBdr>
    </w:div>
    <w:div w:id="415126741">
      <w:bodyDiv w:val="1"/>
      <w:marLeft w:val="0"/>
      <w:marRight w:val="0"/>
      <w:marTop w:val="0"/>
      <w:marBottom w:val="0"/>
      <w:divBdr>
        <w:top w:val="none" w:sz="0" w:space="0" w:color="auto"/>
        <w:left w:val="none" w:sz="0" w:space="0" w:color="auto"/>
        <w:bottom w:val="none" w:sz="0" w:space="0" w:color="auto"/>
        <w:right w:val="none" w:sz="0" w:space="0" w:color="auto"/>
      </w:divBdr>
    </w:div>
    <w:div w:id="459349676">
      <w:bodyDiv w:val="1"/>
      <w:marLeft w:val="0"/>
      <w:marRight w:val="0"/>
      <w:marTop w:val="0"/>
      <w:marBottom w:val="0"/>
      <w:divBdr>
        <w:top w:val="none" w:sz="0" w:space="0" w:color="auto"/>
        <w:left w:val="none" w:sz="0" w:space="0" w:color="auto"/>
        <w:bottom w:val="none" w:sz="0" w:space="0" w:color="auto"/>
        <w:right w:val="none" w:sz="0" w:space="0" w:color="auto"/>
      </w:divBdr>
    </w:div>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691616120">
      <w:bodyDiv w:val="1"/>
      <w:marLeft w:val="0"/>
      <w:marRight w:val="0"/>
      <w:marTop w:val="0"/>
      <w:marBottom w:val="0"/>
      <w:divBdr>
        <w:top w:val="none" w:sz="0" w:space="0" w:color="auto"/>
        <w:left w:val="none" w:sz="0" w:space="0" w:color="auto"/>
        <w:bottom w:val="none" w:sz="0" w:space="0" w:color="auto"/>
        <w:right w:val="none" w:sz="0" w:space="0" w:color="auto"/>
      </w:divBdr>
    </w:div>
    <w:div w:id="698702405">
      <w:bodyDiv w:val="1"/>
      <w:marLeft w:val="0"/>
      <w:marRight w:val="0"/>
      <w:marTop w:val="0"/>
      <w:marBottom w:val="0"/>
      <w:divBdr>
        <w:top w:val="none" w:sz="0" w:space="0" w:color="auto"/>
        <w:left w:val="none" w:sz="0" w:space="0" w:color="auto"/>
        <w:bottom w:val="none" w:sz="0" w:space="0" w:color="auto"/>
        <w:right w:val="none" w:sz="0" w:space="0" w:color="auto"/>
      </w:divBdr>
    </w:div>
    <w:div w:id="708602658">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769937162">
      <w:bodyDiv w:val="1"/>
      <w:marLeft w:val="0"/>
      <w:marRight w:val="0"/>
      <w:marTop w:val="0"/>
      <w:marBottom w:val="0"/>
      <w:divBdr>
        <w:top w:val="none" w:sz="0" w:space="0" w:color="auto"/>
        <w:left w:val="none" w:sz="0" w:space="0" w:color="auto"/>
        <w:bottom w:val="none" w:sz="0" w:space="0" w:color="auto"/>
        <w:right w:val="none" w:sz="0" w:space="0" w:color="auto"/>
      </w:divBdr>
    </w:div>
    <w:div w:id="771514410">
      <w:bodyDiv w:val="1"/>
      <w:marLeft w:val="0"/>
      <w:marRight w:val="0"/>
      <w:marTop w:val="0"/>
      <w:marBottom w:val="0"/>
      <w:divBdr>
        <w:top w:val="none" w:sz="0" w:space="0" w:color="auto"/>
        <w:left w:val="none" w:sz="0" w:space="0" w:color="auto"/>
        <w:bottom w:val="none" w:sz="0" w:space="0" w:color="auto"/>
        <w:right w:val="none" w:sz="0" w:space="0" w:color="auto"/>
      </w:divBdr>
    </w:div>
    <w:div w:id="814494972">
      <w:bodyDiv w:val="1"/>
      <w:marLeft w:val="0"/>
      <w:marRight w:val="0"/>
      <w:marTop w:val="0"/>
      <w:marBottom w:val="0"/>
      <w:divBdr>
        <w:top w:val="none" w:sz="0" w:space="0" w:color="auto"/>
        <w:left w:val="none" w:sz="0" w:space="0" w:color="auto"/>
        <w:bottom w:val="none" w:sz="0" w:space="0" w:color="auto"/>
        <w:right w:val="none" w:sz="0" w:space="0" w:color="auto"/>
      </w:divBdr>
    </w:div>
    <w:div w:id="894311627">
      <w:bodyDiv w:val="1"/>
      <w:marLeft w:val="0"/>
      <w:marRight w:val="0"/>
      <w:marTop w:val="0"/>
      <w:marBottom w:val="0"/>
      <w:divBdr>
        <w:top w:val="none" w:sz="0" w:space="0" w:color="auto"/>
        <w:left w:val="none" w:sz="0" w:space="0" w:color="auto"/>
        <w:bottom w:val="none" w:sz="0" w:space="0" w:color="auto"/>
        <w:right w:val="none" w:sz="0" w:space="0" w:color="auto"/>
      </w:divBdr>
    </w:div>
    <w:div w:id="908001966">
      <w:bodyDiv w:val="1"/>
      <w:marLeft w:val="0"/>
      <w:marRight w:val="0"/>
      <w:marTop w:val="0"/>
      <w:marBottom w:val="0"/>
      <w:divBdr>
        <w:top w:val="none" w:sz="0" w:space="0" w:color="auto"/>
        <w:left w:val="none" w:sz="0" w:space="0" w:color="auto"/>
        <w:bottom w:val="none" w:sz="0" w:space="0" w:color="auto"/>
        <w:right w:val="none" w:sz="0" w:space="0" w:color="auto"/>
      </w:divBdr>
    </w:div>
    <w:div w:id="969557332">
      <w:bodyDiv w:val="1"/>
      <w:marLeft w:val="0"/>
      <w:marRight w:val="0"/>
      <w:marTop w:val="0"/>
      <w:marBottom w:val="0"/>
      <w:divBdr>
        <w:top w:val="none" w:sz="0" w:space="0" w:color="auto"/>
        <w:left w:val="none" w:sz="0" w:space="0" w:color="auto"/>
        <w:bottom w:val="none" w:sz="0" w:space="0" w:color="auto"/>
        <w:right w:val="none" w:sz="0" w:space="0" w:color="auto"/>
      </w:divBdr>
    </w:div>
    <w:div w:id="969943451">
      <w:bodyDiv w:val="1"/>
      <w:marLeft w:val="0"/>
      <w:marRight w:val="0"/>
      <w:marTop w:val="0"/>
      <w:marBottom w:val="0"/>
      <w:divBdr>
        <w:top w:val="none" w:sz="0" w:space="0" w:color="auto"/>
        <w:left w:val="none" w:sz="0" w:space="0" w:color="auto"/>
        <w:bottom w:val="none" w:sz="0" w:space="0" w:color="auto"/>
        <w:right w:val="none" w:sz="0" w:space="0" w:color="auto"/>
      </w:divBdr>
    </w:div>
    <w:div w:id="981226951">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098870340">
      <w:bodyDiv w:val="1"/>
      <w:marLeft w:val="0"/>
      <w:marRight w:val="0"/>
      <w:marTop w:val="0"/>
      <w:marBottom w:val="0"/>
      <w:divBdr>
        <w:top w:val="none" w:sz="0" w:space="0" w:color="auto"/>
        <w:left w:val="none" w:sz="0" w:space="0" w:color="auto"/>
        <w:bottom w:val="none" w:sz="0" w:space="0" w:color="auto"/>
        <w:right w:val="none" w:sz="0" w:space="0" w:color="auto"/>
      </w:divBdr>
    </w:div>
    <w:div w:id="1113210186">
      <w:bodyDiv w:val="1"/>
      <w:marLeft w:val="0"/>
      <w:marRight w:val="0"/>
      <w:marTop w:val="0"/>
      <w:marBottom w:val="0"/>
      <w:divBdr>
        <w:top w:val="none" w:sz="0" w:space="0" w:color="auto"/>
        <w:left w:val="none" w:sz="0" w:space="0" w:color="auto"/>
        <w:bottom w:val="none" w:sz="0" w:space="0" w:color="auto"/>
        <w:right w:val="none" w:sz="0" w:space="0" w:color="auto"/>
      </w:divBdr>
    </w:div>
    <w:div w:id="1135677763">
      <w:bodyDiv w:val="1"/>
      <w:marLeft w:val="0"/>
      <w:marRight w:val="0"/>
      <w:marTop w:val="0"/>
      <w:marBottom w:val="0"/>
      <w:divBdr>
        <w:top w:val="none" w:sz="0" w:space="0" w:color="auto"/>
        <w:left w:val="none" w:sz="0" w:space="0" w:color="auto"/>
        <w:bottom w:val="none" w:sz="0" w:space="0" w:color="auto"/>
        <w:right w:val="none" w:sz="0" w:space="0" w:color="auto"/>
      </w:divBdr>
    </w:div>
    <w:div w:id="1139960131">
      <w:bodyDiv w:val="1"/>
      <w:marLeft w:val="0"/>
      <w:marRight w:val="0"/>
      <w:marTop w:val="0"/>
      <w:marBottom w:val="0"/>
      <w:divBdr>
        <w:top w:val="none" w:sz="0" w:space="0" w:color="auto"/>
        <w:left w:val="none" w:sz="0" w:space="0" w:color="auto"/>
        <w:bottom w:val="none" w:sz="0" w:space="0" w:color="auto"/>
        <w:right w:val="none" w:sz="0" w:space="0" w:color="auto"/>
      </w:divBdr>
    </w:div>
    <w:div w:id="1308049204">
      <w:bodyDiv w:val="1"/>
      <w:marLeft w:val="0"/>
      <w:marRight w:val="0"/>
      <w:marTop w:val="0"/>
      <w:marBottom w:val="0"/>
      <w:divBdr>
        <w:top w:val="none" w:sz="0" w:space="0" w:color="auto"/>
        <w:left w:val="none" w:sz="0" w:space="0" w:color="auto"/>
        <w:bottom w:val="none" w:sz="0" w:space="0" w:color="auto"/>
        <w:right w:val="none" w:sz="0" w:space="0" w:color="auto"/>
      </w:divBdr>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391609205">
      <w:bodyDiv w:val="1"/>
      <w:marLeft w:val="0"/>
      <w:marRight w:val="0"/>
      <w:marTop w:val="0"/>
      <w:marBottom w:val="0"/>
      <w:divBdr>
        <w:top w:val="none" w:sz="0" w:space="0" w:color="auto"/>
        <w:left w:val="none" w:sz="0" w:space="0" w:color="auto"/>
        <w:bottom w:val="none" w:sz="0" w:space="0" w:color="auto"/>
        <w:right w:val="none" w:sz="0" w:space="0" w:color="auto"/>
      </w:divBdr>
    </w:div>
    <w:div w:id="1399282081">
      <w:bodyDiv w:val="1"/>
      <w:marLeft w:val="0"/>
      <w:marRight w:val="0"/>
      <w:marTop w:val="0"/>
      <w:marBottom w:val="0"/>
      <w:divBdr>
        <w:top w:val="none" w:sz="0" w:space="0" w:color="auto"/>
        <w:left w:val="none" w:sz="0" w:space="0" w:color="auto"/>
        <w:bottom w:val="none" w:sz="0" w:space="0" w:color="auto"/>
        <w:right w:val="none" w:sz="0" w:space="0" w:color="auto"/>
      </w:divBdr>
    </w:div>
    <w:div w:id="1400595445">
      <w:bodyDiv w:val="1"/>
      <w:marLeft w:val="0"/>
      <w:marRight w:val="0"/>
      <w:marTop w:val="0"/>
      <w:marBottom w:val="0"/>
      <w:divBdr>
        <w:top w:val="none" w:sz="0" w:space="0" w:color="auto"/>
        <w:left w:val="none" w:sz="0" w:space="0" w:color="auto"/>
        <w:bottom w:val="none" w:sz="0" w:space="0" w:color="auto"/>
        <w:right w:val="none" w:sz="0" w:space="0" w:color="auto"/>
      </w:divBdr>
    </w:div>
    <w:div w:id="1420175912">
      <w:bodyDiv w:val="1"/>
      <w:marLeft w:val="0"/>
      <w:marRight w:val="0"/>
      <w:marTop w:val="0"/>
      <w:marBottom w:val="0"/>
      <w:divBdr>
        <w:top w:val="none" w:sz="0" w:space="0" w:color="auto"/>
        <w:left w:val="none" w:sz="0" w:space="0" w:color="auto"/>
        <w:bottom w:val="none" w:sz="0" w:space="0" w:color="auto"/>
        <w:right w:val="none" w:sz="0" w:space="0" w:color="auto"/>
      </w:divBdr>
    </w:div>
    <w:div w:id="1428504839">
      <w:bodyDiv w:val="1"/>
      <w:marLeft w:val="0"/>
      <w:marRight w:val="0"/>
      <w:marTop w:val="0"/>
      <w:marBottom w:val="0"/>
      <w:divBdr>
        <w:top w:val="none" w:sz="0" w:space="0" w:color="auto"/>
        <w:left w:val="none" w:sz="0" w:space="0" w:color="auto"/>
        <w:bottom w:val="none" w:sz="0" w:space="0" w:color="auto"/>
        <w:right w:val="none" w:sz="0" w:space="0" w:color="auto"/>
      </w:divBdr>
    </w:div>
    <w:div w:id="1454132278">
      <w:bodyDiv w:val="1"/>
      <w:marLeft w:val="0"/>
      <w:marRight w:val="0"/>
      <w:marTop w:val="0"/>
      <w:marBottom w:val="0"/>
      <w:divBdr>
        <w:top w:val="none" w:sz="0" w:space="0" w:color="auto"/>
        <w:left w:val="none" w:sz="0" w:space="0" w:color="auto"/>
        <w:bottom w:val="none" w:sz="0" w:space="0" w:color="auto"/>
        <w:right w:val="none" w:sz="0" w:space="0" w:color="auto"/>
      </w:divBdr>
    </w:div>
    <w:div w:id="1479420234">
      <w:bodyDiv w:val="1"/>
      <w:marLeft w:val="0"/>
      <w:marRight w:val="0"/>
      <w:marTop w:val="0"/>
      <w:marBottom w:val="0"/>
      <w:divBdr>
        <w:top w:val="none" w:sz="0" w:space="0" w:color="auto"/>
        <w:left w:val="none" w:sz="0" w:space="0" w:color="auto"/>
        <w:bottom w:val="none" w:sz="0" w:space="0" w:color="auto"/>
        <w:right w:val="none" w:sz="0" w:space="0" w:color="auto"/>
      </w:divBdr>
    </w:div>
    <w:div w:id="1575355193">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 w:id="1600336918">
      <w:bodyDiv w:val="1"/>
      <w:marLeft w:val="0"/>
      <w:marRight w:val="0"/>
      <w:marTop w:val="0"/>
      <w:marBottom w:val="0"/>
      <w:divBdr>
        <w:top w:val="none" w:sz="0" w:space="0" w:color="auto"/>
        <w:left w:val="none" w:sz="0" w:space="0" w:color="auto"/>
        <w:bottom w:val="none" w:sz="0" w:space="0" w:color="auto"/>
        <w:right w:val="none" w:sz="0" w:space="0" w:color="auto"/>
      </w:divBdr>
    </w:div>
    <w:div w:id="1623262730">
      <w:bodyDiv w:val="1"/>
      <w:marLeft w:val="0"/>
      <w:marRight w:val="0"/>
      <w:marTop w:val="0"/>
      <w:marBottom w:val="0"/>
      <w:divBdr>
        <w:top w:val="none" w:sz="0" w:space="0" w:color="auto"/>
        <w:left w:val="none" w:sz="0" w:space="0" w:color="auto"/>
        <w:bottom w:val="none" w:sz="0" w:space="0" w:color="auto"/>
        <w:right w:val="none" w:sz="0" w:space="0" w:color="auto"/>
      </w:divBdr>
    </w:div>
    <w:div w:id="1686594675">
      <w:bodyDiv w:val="1"/>
      <w:marLeft w:val="0"/>
      <w:marRight w:val="0"/>
      <w:marTop w:val="0"/>
      <w:marBottom w:val="0"/>
      <w:divBdr>
        <w:top w:val="none" w:sz="0" w:space="0" w:color="auto"/>
        <w:left w:val="none" w:sz="0" w:space="0" w:color="auto"/>
        <w:bottom w:val="none" w:sz="0" w:space="0" w:color="auto"/>
        <w:right w:val="none" w:sz="0" w:space="0" w:color="auto"/>
      </w:divBdr>
    </w:div>
    <w:div w:id="1803112069">
      <w:bodyDiv w:val="1"/>
      <w:marLeft w:val="0"/>
      <w:marRight w:val="0"/>
      <w:marTop w:val="0"/>
      <w:marBottom w:val="0"/>
      <w:divBdr>
        <w:top w:val="none" w:sz="0" w:space="0" w:color="auto"/>
        <w:left w:val="none" w:sz="0" w:space="0" w:color="auto"/>
        <w:bottom w:val="none" w:sz="0" w:space="0" w:color="auto"/>
        <w:right w:val="none" w:sz="0" w:space="0" w:color="auto"/>
      </w:divBdr>
    </w:div>
    <w:div w:id="1832792967">
      <w:bodyDiv w:val="1"/>
      <w:marLeft w:val="0"/>
      <w:marRight w:val="0"/>
      <w:marTop w:val="0"/>
      <w:marBottom w:val="0"/>
      <w:divBdr>
        <w:top w:val="none" w:sz="0" w:space="0" w:color="auto"/>
        <w:left w:val="none" w:sz="0" w:space="0" w:color="auto"/>
        <w:bottom w:val="none" w:sz="0" w:space="0" w:color="auto"/>
        <w:right w:val="none" w:sz="0" w:space="0" w:color="auto"/>
      </w:divBdr>
    </w:div>
    <w:div w:id="1886209299">
      <w:bodyDiv w:val="1"/>
      <w:marLeft w:val="0"/>
      <w:marRight w:val="0"/>
      <w:marTop w:val="0"/>
      <w:marBottom w:val="0"/>
      <w:divBdr>
        <w:top w:val="none" w:sz="0" w:space="0" w:color="auto"/>
        <w:left w:val="none" w:sz="0" w:space="0" w:color="auto"/>
        <w:bottom w:val="none" w:sz="0" w:space="0" w:color="auto"/>
        <w:right w:val="none" w:sz="0" w:space="0" w:color="auto"/>
      </w:divBdr>
    </w:div>
    <w:div w:id="1920403433">
      <w:bodyDiv w:val="1"/>
      <w:marLeft w:val="0"/>
      <w:marRight w:val="0"/>
      <w:marTop w:val="0"/>
      <w:marBottom w:val="0"/>
      <w:divBdr>
        <w:top w:val="none" w:sz="0" w:space="0" w:color="auto"/>
        <w:left w:val="none" w:sz="0" w:space="0" w:color="auto"/>
        <w:bottom w:val="none" w:sz="0" w:space="0" w:color="auto"/>
        <w:right w:val="none" w:sz="0" w:space="0" w:color="auto"/>
      </w:divBdr>
    </w:div>
    <w:div w:id="1939173799">
      <w:bodyDiv w:val="1"/>
      <w:marLeft w:val="0"/>
      <w:marRight w:val="0"/>
      <w:marTop w:val="0"/>
      <w:marBottom w:val="0"/>
      <w:divBdr>
        <w:top w:val="none" w:sz="0" w:space="0" w:color="auto"/>
        <w:left w:val="none" w:sz="0" w:space="0" w:color="auto"/>
        <w:bottom w:val="none" w:sz="0" w:space="0" w:color="auto"/>
        <w:right w:val="none" w:sz="0" w:space="0" w:color="auto"/>
      </w:divBdr>
    </w:div>
    <w:div w:id="1958871765">
      <w:bodyDiv w:val="1"/>
      <w:marLeft w:val="0"/>
      <w:marRight w:val="0"/>
      <w:marTop w:val="0"/>
      <w:marBottom w:val="0"/>
      <w:divBdr>
        <w:top w:val="none" w:sz="0" w:space="0" w:color="auto"/>
        <w:left w:val="none" w:sz="0" w:space="0" w:color="auto"/>
        <w:bottom w:val="none" w:sz="0" w:space="0" w:color="auto"/>
        <w:right w:val="none" w:sz="0" w:space="0" w:color="auto"/>
      </w:divBdr>
    </w:div>
    <w:div w:id="2030989149">
      <w:bodyDiv w:val="1"/>
      <w:marLeft w:val="0"/>
      <w:marRight w:val="0"/>
      <w:marTop w:val="0"/>
      <w:marBottom w:val="0"/>
      <w:divBdr>
        <w:top w:val="none" w:sz="0" w:space="0" w:color="auto"/>
        <w:left w:val="none" w:sz="0" w:space="0" w:color="auto"/>
        <w:bottom w:val="none" w:sz="0" w:space="0" w:color="auto"/>
        <w:right w:val="none" w:sz="0" w:space="0" w:color="auto"/>
      </w:divBdr>
    </w:div>
    <w:div w:id="207539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55DBE5-6242-48B3-9D37-BE2842C7FEC2}">
  <ds:schemaRefs>
    <ds:schemaRef ds:uri="http://schemas.openxmlformats.org/officeDocument/2006/bibliography"/>
  </ds:schemaRefs>
</ds:datastoreItem>
</file>

<file path=customXml/itemProps3.xml><?xml version="1.0" encoding="utf-8"?>
<ds:datastoreItem xmlns:ds="http://schemas.openxmlformats.org/officeDocument/2006/customXml" ds:itemID="{508E98F3-74BF-4669-8799-CB716CDF93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C17068-8649-46B3-AE82-078FB3CA5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JD LBH A4 letter.dot</Template>
  <TotalTime>0</TotalTime>
  <Pages>6</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2010-11-29T11:31:00Z</cp:lastPrinted>
  <dcterms:created xsi:type="dcterms:W3CDTF">2026-04-13T13:56:00Z</dcterms:created>
  <dcterms:modified xsi:type="dcterms:W3CDTF">2026-04-13T13:56:00Z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2022-02-28T15:05:41Z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646512db-fb27-4557-9891-802aa752279b</vt:lpwstr>
  </property>
  <property fmtid="{D5CDD505-2E9C-101B-9397-08002B2CF9AE}" pid="9" name="MSIP_Label_7a8edf35-91ea-44e1-afab-38c462b39a0c_ContentBits">
    <vt:lpwstr>0</vt:lpwstr>
  </property>
</Properties>
</file>