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F3419" w14:textId="77777777" w:rsidR="00D05750" w:rsidRPr="00D05750" w:rsidRDefault="00D05750" w:rsidP="00D05750">
      <w:pPr>
        <w:rPr>
          <w:rFonts w:ascii="Arial" w:eastAsia="Times New Roman" w:hAnsi="Arial" w:cs="Arial"/>
          <w:b/>
          <w:bCs/>
          <w:color w:val="505A5F"/>
          <w:kern w:val="0"/>
          <w:sz w:val="22"/>
          <w:szCs w:val="22"/>
          <w:shd w:val="clear" w:color="auto" w:fill="FFFFFF"/>
          <w:lang w:eastAsia="en-GB"/>
          <w14:ligatures w14:val="none"/>
        </w:rPr>
      </w:pPr>
      <w:r w:rsidRPr="00D05750">
        <w:rPr>
          <w:rFonts w:ascii="Arial" w:eastAsia="Times New Roman" w:hAnsi="Arial" w:cs="Arial"/>
          <w:b/>
          <w:bCs/>
          <w:color w:val="505A5F"/>
          <w:kern w:val="0"/>
          <w:sz w:val="22"/>
          <w:szCs w:val="22"/>
          <w:shd w:val="clear" w:color="auto" w:fill="FFFFFF"/>
          <w:lang w:eastAsia="en-GB"/>
          <w14:ligatures w14:val="none"/>
        </w:rPr>
        <w:t>Appeal 6004329</w:t>
      </w:r>
    </w:p>
    <w:p w14:paraId="6F9E822A" w14:textId="77777777" w:rsidR="00D05750" w:rsidRPr="00D05750" w:rsidRDefault="00D05750" w:rsidP="00D05750">
      <w:pPr>
        <w:rPr>
          <w:rFonts w:ascii="Arial" w:eastAsia="Times New Roman" w:hAnsi="Arial" w:cs="Arial"/>
          <w:b/>
          <w:bCs/>
          <w:color w:val="505A5F"/>
          <w:kern w:val="0"/>
          <w:sz w:val="22"/>
          <w:szCs w:val="22"/>
          <w:shd w:val="clear" w:color="auto" w:fill="FFFFFF"/>
          <w:lang w:eastAsia="en-GB"/>
          <w14:ligatures w14:val="none"/>
        </w:rPr>
      </w:pPr>
      <w:r w:rsidRPr="00D05750">
        <w:rPr>
          <w:rFonts w:ascii="Arial" w:eastAsia="Times New Roman" w:hAnsi="Arial" w:cs="Arial"/>
          <w:b/>
          <w:bCs/>
          <w:color w:val="505A5F"/>
          <w:kern w:val="0"/>
          <w:sz w:val="22"/>
          <w:szCs w:val="22"/>
          <w:shd w:val="clear" w:color="auto" w:fill="FFFFFF"/>
          <w:lang w:eastAsia="en-GB"/>
          <w14:ligatures w14:val="none"/>
        </w:rPr>
        <w:t>Your statement</w:t>
      </w:r>
    </w:p>
    <w:p w14:paraId="2EF4725B" w14:textId="77777777" w:rsidR="00D05750" w:rsidRPr="00D05750" w:rsidRDefault="00D05750" w:rsidP="00D05750">
      <w:pPr>
        <w:rPr>
          <w:rFonts w:ascii="Arial" w:eastAsia="Times New Roman" w:hAnsi="Arial" w:cs="Arial"/>
          <w:b/>
          <w:bCs/>
          <w:color w:val="505A5F"/>
          <w:kern w:val="0"/>
          <w:sz w:val="22"/>
          <w:szCs w:val="22"/>
          <w:shd w:val="clear" w:color="auto" w:fill="FFFFFF"/>
          <w:lang w:eastAsia="en-GB"/>
          <w14:ligatures w14:val="none"/>
        </w:rPr>
      </w:pPr>
      <w:r w:rsidRPr="00D05750">
        <w:rPr>
          <w:rFonts w:ascii="Arial" w:eastAsia="Times New Roman" w:hAnsi="Arial" w:cs="Arial"/>
          <w:b/>
          <w:bCs/>
          <w:color w:val="505A5F"/>
          <w:kern w:val="0"/>
          <w:sz w:val="22"/>
          <w:szCs w:val="22"/>
          <w:shd w:val="clear" w:color="auto" w:fill="FFFFFF"/>
          <w:lang w:eastAsia="en-GB"/>
          <w14:ligatures w14:val="none"/>
        </w:rPr>
        <w:t>Appeal type</w:t>
      </w:r>
    </w:p>
    <w:p w14:paraId="72D3D284" w14:textId="77777777" w:rsidR="00D05750" w:rsidRPr="00D05750" w:rsidRDefault="00D05750" w:rsidP="00D05750">
      <w:pPr>
        <w:rPr>
          <w:rFonts w:ascii="Arial" w:eastAsia="Times New Roman" w:hAnsi="Arial" w:cs="Arial"/>
          <w:b/>
          <w:bCs/>
          <w:color w:val="505A5F"/>
          <w:kern w:val="0"/>
          <w:sz w:val="22"/>
          <w:szCs w:val="22"/>
          <w:shd w:val="clear" w:color="auto" w:fill="FFFFFF"/>
          <w:lang w:eastAsia="en-GB"/>
          <w14:ligatures w14:val="none"/>
        </w:rPr>
      </w:pPr>
      <w:r w:rsidRPr="00D05750">
        <w:rPr>
          <w:rFonts w:ascii="Arial" w:eastAsia="Times New Roman" w:hAnsi="Arial" w:cs="Arial"/>
          <w:b/>
          <w:bCs/>
          <w:color w:val="505A5F"/>
          <w:kern w:val="0"/>
          <w:sz w:val="22"/>
          <w:szCs w:val="22"/>
          <w:shd w:val="clear" w:color="auto" w:fill="FFFFFF"/>
          <w:lang w:eastAsia="en-GB"/>
          <w14:ligatures w14:val="none"/>
        </w:rPr>
        <w:t>Planning</w:t>
      </w:r>
    </w:p>
    <w:p w14:paraId="433FFA67" w14:textId="77777777" w:rsidR="00D05750" w:rsidRPr="00D05750" w:rsidRDefault="00D05750" w:rsidP="00D05750">
      <w:pPr>
        <w:rPr>
          <w:rFonts w:ascii="Arial" w:eastAsia="Times New Roman" w:hAnsi="Arial" w:cs="Arial"/>
          <w:b/>
          <w:bCs/>
          <w:color w:val="505A5F"/>
          <w:kern w:val="0"/>
          <w:sz w:val="22"/>
          <w:szCs w:val="22"/>
          <w:shd w:val="clear" w:color="auto" w:fill="FFFFFF"/>
          <w:lang w:eastAsia="en-GB"/>
          <w14:ligatures w14:val="none"/>
        </w:rPr>
      </w:pPr>
      <w:r w:rsidRPr="00D05750">
        <w:rPr>
          <w:rFonts w:ascii="Arial" w:eastAsia="Times New Roman" w:hAnsi="Arial" w:cs="Arial"/>
          <w:b/>
          <w:bCs/>
          <w:color w:val="505A5F"/>
          <w:kern w:val="0"/>
          <w:sz w:val="22"/>
          <w:szCs w:val="22"/>
          <w:shd w:val="clear" w:color="auto" w:fill="FFFFFF"/>
          <w:lang w:eastAsia="en-GB"/>
          <w14:ligatures w14:val="none"/>
        </w:rPr>
        <w:t>Appeal procedure</w:t>
      </w:r>
    </w:p>
    <w:p w14:paraId="0876235A" w14:textId="77777777" w:rsidR="00D05750" w:rsidRPr="00D05750" w:rsidRDefault="00D05750" w:rsidP="00D05750">
      <w:pPr>
        <w:rPr>
          <w:rFonts w:ascii="Arial" w:eastAsia="Times New Roman" w:hAnsi="Arial" w:cs="Arial"/>
          <w:b/>
          <w:bCs/>
          <w:color w:val="505A5F"/>
          <w:kern w:val="0"/>
          <w:sz w:val="22"/>
          <w:szCs w:val="22"/>
          <w:shd w:val="clear" w:color="auto" w:fill="FFFFFF"/>
          <w:lang w:eastAsia="en-GB"/>
          <w14:ligatures w14:val="none"/>
        </w:rPr>
      </w:pPr>
      <w:r w:rsidRPr="00D05750">
        <w:rPr>
          <w:rFonts w:ascii="Arial" w:eastAsia="Times New Roman" w:hAnsi="Arial" w:cs="Arial"/>
          <w:b/>
          <w:bCs/>
          <w:color w:val="505A5F"/>
          <w:kern w:val="0"/>
          <w:sz w:val="22"/>
          <w:szCs w:val="22"/>
          <w:shd w:val="clear" w:color="auto" w:fill="FFFFFF"/>
          <w:lang w:eastAsia="en-GB"/>
          <w14:ligatures w14:val="none"/>
        </w:rPr>
        <w:t>Written</w:t>
      </w:r>
    </w:p>
    <w:p w14:paraId="3736F6AF" w14:textId="77777777" w:rsidR="00D05750" w:rsidRPr="00D05750" w:rsidRDefault="00D05750" w:rsidP="00D05750">
      <w:pPr>
        <w:rPr>
          <w:rFonts w:ascii="Arial" w:eastAsia="Times New Roman" w:hAnsi="Arial" w:cs="Arial"/>
          <w:b/>
          <w:bCs/>
          <w:color w:val="505A5F"/>
          <w:kern w:val="0"/>
          <w:sz w:val="22"/>
          <w:szCs w:val="22"/>
          <w:shd w:val="clear" w:color="auto" w:fill="FFFFFF"/>
          <w:lang w:eastAsia="en-GB"/>
          <w14:ligatures w14:val="none"/>
        </w:rPr>
      </w:pPr>
      <w:r w:rsidRPr="00D05750">
        <w:rPr>
          <w:rFonts w:ascii="Arial" w:eastAsia="Times New Roman" w:hAnsi="Arial" w:cs="Arial"/>
          <w:b/>
          <w:bCs/>
          <w:color w:val="505A5F"/>
          <w:kern w:val="0"/>
          <w:sz w:val="22"/>
          <w:szCs w:val="22"/>
          <w:shd w:val="clear" w:color="auto" w:fill="FFFFFF"/>
          <w:lang w:eastAsia="en-GB"/>
          <w14:ligatures w14:val="none"/>
        </w:rPr>
        <w:t>Appeal site</w:t>
      </w:r>
    </w:p>
    <w:p w14:paraId="52A259E3" w14:textId="77777777" w:rsidR="00D05750" w:rsidRPr="00D05750" w:rsidRDefault="00D05750" w:rsidP="00D05750">
      <w:pPr>
        <w:rPr>
          <w:rFonts w:ascii="Arial" w:eastAsia="Times New Roman" w:hAnsi="Arial" w:cs="Arial"/>
          <w:b/>
          <w:bCs/>
          <w:color w:val="505A5F"/>
          <w:kern w:val="0"/>
          <w:sz w:val="22"/>
          <w:szCs w:val="22"/>
          <w:shd w:val="clear" w:color="auto" w:fill="FFFFFF"/>
          <w:lang w:eastAsia="en-GB"/>
          <w14:ligatures w14:val="none"/>
        </w:rPr>
      </w:pPr>
      <w:r w:rsidRPr="00D05750">
        <w:rPr>
          <w:rFonts w:ascii="Arial" w:eastAsia="Times New Roman" w:hAnsi="Arial" w:cs="Arial"/>
          <w:b/>
          <w:bCs/>
          <w:color w:val="505A5F"/>
          <w:kern w:val="0"/>
          <w:sz w:val="22"/>
          <w:szCs w:val="22"/>
          <w:shd w:val="clear" w:color="auto" w:fill="FFFFFF"/>
          <w:lang w:eastAsia="en-GB"/>
          <w14:ligatures w14:val="none"/>
        </w:rPr>
        <w:t>14 Willow Tree Lane, Hayes, UB4 9BB</w:t>
      </w:r>
    </w:p>
    <w:p w14:paraId="395F29CA" w14:textId="77777777" w:rsidR="00D05750" w:rsidRPr="00D05750" w:rsidRDefault="00D05750" w:rsidP="00D05750">
      <w:pPr>
        <w:rPr>
          <w:rFonts w:ascii="Arial" w:eastAsia="Times New Roman" w:hAnsi="Arial" w:cs="Arial"/>
          <w:b/>
          <w:bCs/>
          <w:color w:val="505A5F"/>
          <w:kern w:val="0"/>
          <w:sz w:val="22"/>
          <w:szCs w:val="22"/>
          <w:shd w:val="clear" w:color="auto" w:fill="FFFFFF"/>
          <w:lang w:eastAsia="en-GB"/>
          <w14:ligatures w14:val="none"/>
        </w:rPr>
      </w:pPr>
      <w:r w:rsidRPr="00D05750">
        <w:rPr>
          <w:rFonts w:ascii="Arial" w:eastAsia="Times New Roman" w:hAnsi="Arial" w:cs="Arial"/>
          <w:b/>
          <w:bCs/>
          <w:color w:val="505A5F"/>
          <w:kern w:val="0"/>
          <w:sz w:val="22"/>
          <w:szCs w:val="22"/>
          <w:shd w:val="clear" w:color="auto" w:fill="FFFFFF"/>
          <w:lang w:eastAsia="en-GB"/>
          <w14:ligatures w14:val="none"/>
        </w:rPr>
        <w:t>Agent contact details</w:t>
      </w:r>
    </w:p>
    <w:p w14:paraId="12D2F96F" w14:textId="20ECAB31" w:rsidR="00D05750" w:rsidRPr="00D05750" w:rsidRDefault="00D05750" w:rsidP="00D05750">
      <w:pPr>
        <w:rPr>
          <w:rFonts w:ascii="Arial" w:eastAsia="Times New Roman" w:hAnsi="Arial" w:cs="Arial"/>
          <w:b/>
          <w:bCs/>
          <w:color w:val="505A5F"/>
          <w:kern w:val="0"/>
          <w:sz w:val="22"/>
          <w:szCs w:val="22"/>
          <w:shd w:val="clear" w:color="auto" w:fill="FFFFFF"/>
          <w:lang w:eastAsia="en-GB"/>
          <w14:ligatures w14:val="none"/>
        </w:rPr>
      </w:pPr>
      <w:r w:rsidRPr="00D05750">
        <w:rPr>
          <w:rFonts w:ascii="Arial" w:eastAsia="Times New Roman" w:hAnsi="Arial" w:cs="Arial"/>
          <w:b/>
          <w:bCs/>
          <w:color w:val="505A5F"/>
          <w:kern w:val="0"/>
          <w:sz w:val="22"/>
          <w:szCs w:val="22"/>
          <w:shd w:val="clear" w:color="auto" w:fill="FFFFFF"/>
          <w:lang w:eastAsia="en-GB"/>
          <w14:ligatures w14:val="none"/>
        </w:rPr>
        <w:t>Joseph Orbell</w:t>
      </w:r>
      <w:r w:rsidRPr="00D05750">
        <w:rPr>
          <w:rFonts w:ascii="Arial" w:eastAsia="Times New Roman" w:hAnsi="Arial" w:cs="Arial"/>
          <w:b/>
          <w:bCs/>
          <w:color w:val="505A5F"/>
          <w:kern w:val="0"/>
          <w:sz w:val="22"/>
          <w:szCs w:val="22"/>
          <w:shd w:val="clear" w:color="auto" w:fill="FFFFFF"/>
          <w:lang w:eastAsia="en-GB"/>
          <w14:ligatures w14:val="none"/>
        </w:rPr>
        <w:br/>
      </w:r>
    </w:p>
    <w:p w14:paraId="42B7E301" w14:textId="77777777" w:rsidR="00D05750" w:rsidRPr="00D05750" w:rsidRDefault="00D05750" w:rsidP="00D05750">
      <w:pPr>
        <w:rPr>
          <w:rFonts w:ascii="Arial" w:eastAsia="Times New Roman" w:hAnsi="Arial" w:cs="Arial"/>
          <w:b/>
          <w:bCs/>
          <w:color w:val="505A5F"/>
          <w:kern w:val="0"/>
          <w:sz w:val="22"/>
          <w:szCs w:val="22"/>
          <w:shd w:val="clear" w:color="auto" w:fill="FFFFFF"/>
          <w:lang w:eastAsia="en-GB"/>
          <w14:ligatures w14:val="none"/>
        </w:rPr>
      </w:pPr>
      <w:r w:rsidRPr="00D05750">
        <w:rPr>
          <w:rFonts w:ascii="Arial" w:eastAsia="Times New Roman" w:hAnsi="Arial" w:cs="Arial"/>
          <w:b/>
          <w:bCs/>
          <w:color w:val="505A5F"/>
          <w:kern w:val="0"/>
          <w:sz w:val="22"/>
          <w:szCs w:val="22"/>
          <w:shd w:val="clear" w:color="auto" w:fill="FFFFFF"/>
          <w:lang w:eastAsia="en-GB"/>
          <w14:ligatures w14:val="none"/>
        </w:rPr>
        <w:t>Local planning authority</w:t>
      </w:r>
    </w:p>
    <w:p w14:paraId="238C6260" w14:textId="77777777" w:rsidR="00D05750" w:rsidRPr="00D05750" w:rsidRDefault="00D05750" w:rsidP="00D05750">
      <w:pPr>
        <w:rPr>
          <w:rFonts w:ascii="Arial" w:eastAsia="Times New Roman" w:hAnsi="Arial" w:cs="Arial"/>
          <w:b/>
          <w:bCs/>
          <w:color w:val="505A5F"/>
          <w:kern w:val="0"/>
          <w:sz w:val="22"/>
          <w:szCs w:val="22"/>
          <w:shd w:val="clear" w:color="auto" w:fill="FFFFFF"/>
          <w:lang w:eastAsia="en-GB"/>
          <w14:ligatures w14:val="none"/>
        </w:rPr>
      </w:pPr>
      <w:r w:rsidRPr="00D05750">
        <w:rPr>
          <w:rFonts w:ascii="Arial" w:eastAsia="Times New Roman" w:hAnsi="Arial" w:cs="Arial"/>
          <w:b/>
          <w:bCs/>
          <w:color w:val="505A5F"/>
          <w:kern w:val="0"/>
          <w:sz w:val="22"/>
          <w:szCs w:val="22"/>
          <w:shd w:val="clear" w:color="auto" w:fill="FFFFFF"/>
          <w:lang w:eastAsia="en-GB"/>
          <w14:ligatures w14:val="none"/>
        </w:rPr>
        <w:t>London Borough of Hillingdon</w:t>
      </w:r>
    </w:p>
    <w:p w14:paraId="5BA6BB84" w14:textId="77777777" w:rsidR="00D05750" w:rsidRPr="00D05750" w:rsidRDefault="00D05750" w:rsidP="00D05750">
      <w:pPr>
        <w:rPr>
          <w:rFonts w:ascii="Arial" w:eastAsia="Times New Roman" w:hAnsi="Arial" w:cs="Arial"/>
          <w:b/>
          <w:bCs/>
          <w:color w:val="505A5F"/>
          <w:kern w:val="0"/>
          <w:sz w:val="22"/>
          <w:szCs w:val="22"/>
          <w:shd w:val="clear" w:color="auto" w:fill="FFFFFF"/>
          <w:lang w:eastAsia="en-GB"/>
          <w14:ligatures w14:val="none"/>
        </w:rPr>
      </w:pPr>
      <w:r w:rsidRPr="00D05750">
        <w:rPr>
          <w:rFonts w:ascii="Arial" w:eastAsia="Times New Roman" w:hAnsi="Arial" w:cs="Arial"/>
          <w:b/>
          <w:bCs/>
          <w:color w:val="505A5F"/>
          <w:kern w:val="0"/>
          <w:sz w:val="22"/>
          <w:szCs w:val="22"/>
          <w:shd w:val="clear" w:color="auto" w:fill="FFFFFF"/>
          <w:lang w:eastAsia="en-GB"/>
          <w14:ligatures w14:val="none"/>
        </w:rPr>
        <w:t>Application number</w:t>
      </w:r>
    </w:p>
    <w:p w14:paraId="26748B19" w14:textId="77777777" w:rsidR="00D05750" w:rsidRPr="00D05750" w:rsidRDefault="00D05750" w:rsidP="00D05750">
      <w:pPr>
        <w:rPr>
          <w:rFonts w:ascii="Arial" w:eastAsia="Times New Roman" w:hAnsi="Arial" w:cs="Arial"/>
          <w:b/>
          <w:bCs/>
          <w:color w:val="505A5F"/>
          <w:kern w:val="0"/>
          <w:sz w:val="22"/>
          <w:szCs w:val="22"/>
          <w:shd w:val="clear" w:color="auto" w:fill="FFFFFF"/>
          <w:lang w:eastAsia="en-GB"/>
          <w14:ligatures w14:val="none"/>
        </w:rPr>
      </w:pPr>
      <w:r w:rsidRPr="00D05750">
        <w:rPr>
          <w:rFonts w:ascii="Arial" w:eastAsia="Times New Roman" w:hAnsi="Arial" w:cs="Arial"/>
          <w:b/>
          <w:bCs/>
          <w:color w:val="505A5F"/>
          <w:kern w:val="0"/>
          <w:sz w:val="22"/>
          <w:szCs w:val="22"/>
          <w:shd w:val="clear" w:color="auto" w:fill="FFFFFF"/>
          <w:lang w:eastAsia="en-GB"/>
          <w14:ligatures w14:val="none"/>
        </w:rPr>
        <w:t>5516/APP/2025/2441</w:t>
      </w:r>
    </w:p>
    <w:p w14:paraId="6009173F" w14:textId="77777777" w:rsidR="00D05750" w:rsidRPr="00D05750" w:rsidRDefault="00D05750" w:rsidP="00D05750">
      <w:pPr>
        <w:rPr>
          <w:rFonts w:ascii="Arial" w:eastAsia="Times New Roman" w:hAnsi="Arial" w:cs="Arial"/>
          <w:b/>
          <w:bCs/>
          <w:color w:val="505A5F"/>
          <w:kern w:val="0"/>
          <w:sz w:val="22"/>
          <w:szCs w:val="22"/>
          <w:shd w:val="clear" w:color="auto" w:fill="FFFFFF"/>
          <w:lang w:eastAsia="en-GB"/>
          <w14:ligatures w14:val="none"/>
        </w:rPr>
      </w:pPr>
      <w:r w:rsidRPr="00D05750">
        <w:rPr>
          <w:rFonts w:ascii="Arial" w:eastAsia="Times New Roman" w:hAnsi="Arial" w:cs="Arial"/>
          <w:b/>
          <w:bCs/>
          <w:color w:val="505A5F"/>
          <w:kern w:val="0"/>
          <w:sz w:val="22"/>
          <w:szCs w:val="22"/>
          <w:shd w:val="clear" w:color="auto" w:fill="FFFFFF"/>
          <w:lang w:eastAsia="en-GB"/>
          <w14:ligatures w14:val="none"/>
        </w:rPr>
        <w:pict w14:anchorId="0E50D244">
          <v:rect id="_x0000_i1036" style="width:0;height:1.5pt" o:hralign="center" o:hrstd="t" o:hr="t" fillcolor="#a0a0a0" stroked="f"/>
        </w:pict>
      </w:r>
    </w:p>
    <w:p w14:paraId="57CDAB92" w14:textId="77777777" w:rsidR="00D05750" w:rsidRPr="00D05750" w:rsidRDefault="00D05750" w:rsidP="00D05750">
      <w:pPr>
        <w:rPr>
          <w:rFonts w:ascii="Arial" w:eastAsia="Times New Roman" w:hAnsi="Arial" w:cs="Arial"/>
          <w:b/>
          <w:bCs/>
          <w:color w:val="505A5F"/>
          <w:kern w:val="0"/>
          <w:sz w:val="22"/>
          <w:szCs w:val="22"/>
          <w:shd w:val="clear" w:color="auto" w:fill="FFFFFF"/>
          <w:lang w:eastAsia="en-GB"/>
          <w14:ligatures w14:val="none"/>
        </w:rPr>
      </w:pPr>
      <w:r w:rsidRPr="00D05750">
        <w:rPr>
          <w:rFonts w:ascii="Arial" w:eastAsia="Times New Roman" w:hAnsi="Arial" w:cs="Arial"/>
          <w:b/>
          <w:bCs/>
          <w:color w:val="505A5F"/>
          <w:kern w:val="0"/>
          <w:sz w:val="22"/>
          <w:szCs w:val="22"/>
          <w:shd w:val="clear" w:color="auto" w:fill="FFFFFF"/>
          <w:lang w:eastAsia="en-GB"/>
          <w14:ligatures w14:val="none"/>
        </w:rPr>
        <w:t>Statement</w:t>
      </w:r>
    </w:p>
    <w:p w14:paraId="083BD829" w14:textId="78FB9FB1" w:rsidR="00D05750" w:rsidRPr="00D05750" w:rsidRDefault="00D05750" w:rsidP="00D05750">
      <w:pPr>
        <w:rPr>
          <w:rFonts w:ascii="Arial" w:eastAsia="Times New Roman" w:hAnsi="Arial" w:cs="Arial"/>
          <w:b/>
          <w:bCs/>
          <w:color w:val="505A5F"/>
          <w:kern w:val="0"/>
          <w:sz w:val="22"/>
          <w:szCs w:val="22"/>
          <w:shd w:val="clear" w:color="auto" w:fill="FFFFFF"/>
          <w:lang w:eastAsia="en-GB"/>
          <w14:ligatures w14:val="none"/>
        </w:rPr>
      </w:pPr>
      <w:r w:rsidRPr="00D05750">
        <w:rPr>
          <w:rFonts w:ascii="Arial" w:eastAsia="Times New Roman" w:hAnsi="Arial" w:cs="Arial"/>
          <w:b/>
          <w:bCs/>
          <w:color w:val="505A5F"/>
          <w:kern w:val="0"/>
          <w:sz w:val="22"/>
          <w:szCs w:val="22"/>
          <w:shd w:val="clear" w:color="auto" w:fill="FFFFFF"/>
          <w:lang w:eastAsia="en-GB"/>
          <w14:ligatures w14:val="none"/>
        </w:rPr>
        <w:t>1. Introduction</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1.1 This appeal statement is submitted by the London Borough of Hillingdon, as the Local Planning Authority (LPA), in respect of the appeal against its refusal to grant planning permission for the Change of use from Class C3 dwelling house to 7-bedroom / maximum 8 person HMO Use Class Sui Generis.</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1.2 The LPA refused planning permission on 2nd December 2025 for the following five reasons (as stated on the decision notice):</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 xml:space="preserve">1 The development, by virtue of the loss of the existing family dwelling, would conflict with the Borough's strategic housing goal of safeguarding 3-bedroom family dwellings. Consequently, the principle of development </w:t>
      </w:r>
      <w:proofErr w:type="gramStart"/>
      <w:r w:rsidRPr="00D05750">
        <w:rPr>
          <w:rFonts w:ascii="Arial" w:eastAsia="Times New Roman" w:hAnsi="Arial" w:cs="Arial"/>
          <w:b/>
          <w:bCs/>
          <w:color w:val="505A5F"/>
          <w:kern w:val="0"/>
          <w:sz w:val="22"/>
          <w:szCs w:val="22"/>
          <w:shd w:val="clear" w:color="auto" w:fill="FFFFFF"/>
          <w:lang w:eastAsia="en-GB"/>
          <w14:ligatures w14:val="none"/>
        </w:rPr>
        <w:t>is considered to be</w:t>
      </w:r>
      <w:proofErr w:type="gramEnd"/>
      <w:r w:rsidRPr="00D05750">
        <w:rPr>
          <w:rFonts w:ascii="Arial" w:eastAsia="Times New Roman" w:hAnsi="Arial" w:cs="Arial"/>
          <w:b/>
          <w:bCs/>
          <w:color w:val="505A5F"/>
          <w:kern w:val="0"/>
          <w:sz w:val="22"/>
          <w:szCs w:val="22"/>
          <w:shd w:val="clear" w:color="auto" w:fill="FFFFFF"/>
          <w:lang w:eastAsia="en-GB"/>
          <w14:ligatures w14:val="none"/>
        </w:rPr>
        <w:t xml:space="preserve"> unacceptable. The proposal is therefore contrary to Policies DMH 1 and DMH 5 of the Hillingdon Local Plan: Part Two - Development Management Policies (2020).</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 xml:space="preserve">2 The applicant has failed to demonstrate that the proposal and the high number of potential occupants, would not result in noise and general disturbance to neighbouring properties alongside a harmful over intensification of the use of the site, detrimental to both the occupiers and neighbouring properties and the character and appearance of the area, all contrary to the requirements of Policies DMH 5 and DMHB 11 of the Hillingdon Local Plan: Part Two - Development Management Policies (2020) </w:t>
      </w:r>
      <w:r w:rsidRPr="00D05750">
        <w:rPr>
          <w:rFonts w:ascii="Arial" w:eastAsia="Times New Roman" w:hAnsi="Arial" w:cs="Arial"/>
          <w:b/>
          <w:bCs/>
          <w:color w:val="505A5F"/>
          <w:kern w:val="0"/>
          <w:sz w:val="22"/>
          <w:szCs w:val="22"/>
          <w:shd w:val="clear" w:color="auto" w:fill="FFFFFF"/>
          <w:lang w:eastAsia="en-GB"/>
          <w14:ligatures w14:val="none"/>
        </w:rPr>
        <w:lastRenderedPageBreak/>
        <w:t>and paragraph 135 f) of the NPPF (2024).</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3 The proposal, by virtue of its failure to maintain an adequate amount of private usable external amenity space and adequate levels of outlook for the occupiers of the proposed development, would result in substandard living accommodation and an over-development of the site to the detriment of the residential amenity of existing and future occupiers. The proposal is therefore contrary to the requirements of Policies DMH 5, DMHB 11, DMHB 16 and DMHB 18 of the Hillingdon Local Plan: Part Two - Development Management Policies (2020) and paragraph 135 f) of the NPPF (2024).</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4 The applicant has failed to demonstrate that the proposal would provide an adequate quantum of off street parking space and that those spaces proposed would be functional and capable of safe and independent access. The proposed parking provision is likely to result in roadside parking and create a more hazardous environment for road users, whilst also causing traffic build up and congestion as vehicles try to manoeuvre to enter and exit the site and stop to pass parked vehicles. The proposed development is therefore considered to be detrimental to pedestrian and highway safety, as well as the free movement of vehicles on the local highways network. The proposed development is therefore considered to be contrary to Policies DMT 1, DMT 2 and DMT 6 of the Hillingdon Local Plan: Part Two Development Management Policies (2020), as well as Policies T4 and T6 of the London Plan (2021) and paragraph 116 of the NPPF (2024).</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5 The proposal fails to provide an adequate quantum of cycle parking spaces that would be easily accessible, in accordance with cycle parking standards and therefore fails to comply with Policy DMT 5 of the Hillingdon Local Plan (2020): Part Two - Development Management Policies (2020), Policy T5 of the London Plan (2021), the London Cycling Design Standards and LTN 1/20 Cycle Infrastructure Design and paragraph 117 of the NPPF (2024).</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1.3 The LPA’s case is set out in the Planning Officer’s delegated report, which should be read in conjunction with this statement. A copy of the delegated report and copies of relevant planning policies are provided separately.</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1.4 This statement will not repeat the delegated report and will focus on addressing matters raised in the Appellant’s statement of case.</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2. LPA Comments on Appellant’s Statement of Case</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Loss of family dwelling</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 xml:space="preserve">2.1 In addressing the first reason for refusal, the Appellant in their statement of case suggests that there is a fallback C4 use. It is agreed that a certificate of lawfulness under LPA ref: 5516/APP/2025/2218 for a proposed use (change of use from C3 to C4) was approved on 05 November 2025. For the Inspector’s information, the Council implemented an Article 4 direction restricting permitted development rights from C3 </w:t>
      </w:r>
      <w:r w:rsidRPr="00D05750">
        <w:rPr>
          <w:rFonts w:ascii="Arial" w:eastAsia="Times New Roman" w:hAnsi="Arial" w:cs="Arial"/>
          <w:b/>
          <w:bCs/>
          <w:color w:val="505A5F"/>
          <w:kern w:val="0"/>
          <w:sz w:val="22"/>
          <w:szCs w:val="22"/>
          <w:shd w:val="clear" w:color="auto" w:fill="FFFFFF"/>
          <w:lang w:eastAsia="en-GB"/>
          <w14:ligatures w14:val="none"/>
        </w:rPr>
        <w:lastRenderedPageBreak/>
        <w:t>use to C4 use on 27 November 2025.</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2.2 A certificate of lawfulness under LPA ref: 5516/APP/2025/3218 proposing a Change of use from a 6 person House in Multiple Occupation (Class C4) to a 7 person House in Multiple Occupation (Sui Generis) is currently under determination by the LPA.</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2.3 The Appellant has submitted evidence with the appeal to demonstrate the use of the appeal site as a HMO. The evidence includes a copy of a Company letting agreement dated 4th August 2025 and a Statutory declaration dated 21st January 2026 which refers to a certificate of lawfulness and states that they are the landlord of a HMO and that the use has least since 04 August 2025.</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2.4 The statements made in the Statutory declaration contradict the above-mentioned certificate application form dated 19 August 2025 which states the proposal (HMO C4) had not started. It also contradicts the application form for the appeal proposal dated 18th September which also states the use had not started.</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2.5 In addition, an email submitted by the Appellant to the LPA on 1 November 2025 confirms the rooms are currently unfurnished; the photographs attached to the email did not show signs of occupation at that time. A copy of this email is provided in Appendix 2.</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2.6 The submitted bank statements and excluded licence agreements also do not demonstrate occupation. No copy of any HMO licence has been provided.</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2.7 Overall the evidence submitted leads to ambiguity and contradictions around the use of the property as a HMO and when this use may have commenced.</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2.8 Notwithstanding the approved certificate of lawfulness, the appeal proposal which does require planning permission, would result in the loss of a family sized dwelling and the safeguarding of such housing provision is a borough objective as evidenced by the Article 4 direction.</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Amenity of the area and character</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2.9 The Appellant argues that as the appeal site is occupied by 6 persons, an additional 2 occupants is a modest intensification and does not materially alter the nature of the existing residential use of the site.</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2.10 As will be discussed in subsequently in this statement, the appeal proposal has the potential to accommodate a significant increase in resident numbers from a normal dwelling house and represents a significant intensification as the level of movements generated from a 8 person HMO would be significantly different from that of 3-bedroom dwellinghouse or a 6 person HMO.</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 xml:space="preserve">2.11 The appellant statement refers to several policies included in Hillingdon Local Plan. The most relevant of policies in regard the appeal proposal would be Policy </w:t>
      </w:r>
      <w:r w:rsidRPr="00D05750">
        <w:rPr>
          <w:rFonts w:ascii="Arial" w:eastAsia="Times New Roman" w:hAnsi="Arial" w:cs="Arial"/>
          <w:b/>
          <w:bCs/>
          <w:color w:val="505A5F"/>
          <w:kern w:val="0"/>
          <w:sz w:val="22"/>
          <w:szCs w:val="22"/>
          <w:shd w:val="clear" w:color="auto" w:fill="FFFFFF"/>
          <w:lang w:eastAsia="en-GB"/>
          <w14:ligatures w14:val="none"/>
        </w:rPr>
        <w:lastRenderedPageBreak/>
        <w:t>DMH5 (House in Multiple Occupation and Student Accommodation) which seeks to protect surrounding residents’ amenity. Any HMO approved should therefore demonstrate that there will be no adverse impact on the amenity of neighbouring properties. The accommodation would differ from most properties along the street which would be mainly dwelling houses.</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2.12 Having movements of 8 persons would have the potential to cause significant harm to the adjoining and nearby residents from coming and goings. The 8 persons occupying the 7 individual bedrooms would also attract visitors to the site and controlling the level of activity would be difficult without leading to some level of noise and disturbance to nearby residents.</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2.13 An appeal decision at 5 Crossway, Hayes (for the Inspector’s ease of reference, a copy is provided at Appendix 3) which proposed a change of use from a C3 dwelling to 6 person HMO was dismissed on over-intensification of development on the site that would be harmful to the character of the area. Within the decision, the Inspectorate stated -</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 xml:space="preserve">“The use of the building at number 5 Crossway as a House in Multiple Occupation would be very likely to amount to a more intensive use than use as a family dwellinghouse (or a dwelling occupied by not more than six residents living together as a single household), because of the potential numbers involved and the different movement patterns of people living independent lives. This more intensive use would be likely to generate greater levels of disturbance for </w:t>
      </w:r>
      <w:proofErr w:type="gramStart"/>
      <w:r w:rsidRPr="00D05750">
        <w:rPr>
          <w:rFonts w:ascii="Arial" w:eastAsia="Times New Roman" w:hAnsi="Arial" w:cs="Arial"/>
          <w:b/>
          <w:bCs/>
          <w:color w:val="505A5F"/>
          <w:kern w:val="0"/>
          <w:sz w:val="22"/>
          <w:szCs w:val="22"/>
          <w:shd w:val="clear" w:color="auto" w:fill="FFFFFF"/>
          <w:lang w:eastAsia="en-GB"/>
          <w14:ligatures w14:val="none"/>
        </w:rPr>
        <w:t>neighbours</w:t>
      </w:r>
      <w:proofErr w:type="gramEnd"/>
      <w:r w:rsidRPr="00D05750">
        <w:rPr>
          <w:rFonts w:ascii="Arial" w:eastAsia="Times New Roman" w:hAnsi="Arial" w:cs="Arial"/>
          <w:b/>
          <w:bCs/>
          <w:color w:val="505A5F"/>
          <w:kern w:val="0"/>
          <w:sz w:val="22"/>
          <w:szCs w:val="22"/>
          <w:shd w:val="clear" w:color="auto" w:fill="FFFFFF"/>
          <w:lang w:eastAsia="en-GB"/>
          <w14:ligatures w14:val="none"/>
        </w:rPr>
        <w:t xml:space="preserve"> and I am persuaded that the change for which planning permission is sought would amount to an over-intensification of development on the site that would also harm the character of the area”. (Paragraph 14, APP/R5510/W/25/3360554)</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2.14 The LPA would consider that the fallback C4 HMO to be unacceptable with regards to the impact on the amenity and character of the area. The appeal proposal for a large HMO which requires planning permission, would only result in additional compounded harm to the amenity of the area.</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2.15 An appeal decision at 131 York Avenue (for the Inspector’s ease of reference, a copy is provided at Appendix 4) which proposed a change of use from 6 person HMO to 9/10 person HMO was dismissed on several grounds including the impact on the amenity of nearby residents. Within this decision, the Inspectorate stated:</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"It is likely that each occupant of the HMO would have their own routine, as well as visitors and deliveries. Even given the amount of accommodation provided by the existing use, the larger HMO would have a distinctly different nature and intensity compared to other dwellings in this road. The intensity of use and increased movements to and from the site would lead to unacceptable increase in noise and disturbance to nearby residents". (Paragraph 6, APP/R5510/W/23/3327485)</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 xml:space="preserve">2.16 Having regard to the above, it is considered that the number of residents proposed within the building would therefore impact on neighbouring occupiers, in </w:t>
      </w:r>
      <w:r w:rsidRPr="00D05750">
        <w:rPr>
          <w:rFonts w:ascii="Arial" w:eastAsia="Times New Roman" w:hAnsi="Arial" w:cs="Arial"/>
          <w:b/>
          <w:bCs/>
          <w:color w:val="505A5F"/>
          <w:kern w:val="0"/>
          <w:sz w:val="22"/>
          <w:szCs w:val="22"/>
          <w:shd w:val="clear" w:color="auto" w:fill="FFFFFF"/>
          <w:lang w:eastAsia="en-GB"/>
          <w14:ligatures w14:val="none"/>
        </w:rPr>
        <w:lastRenderedPageBreak/>
        <w:t>terms of vehicle movements, movements of residents at all times of the day and night and consequently noise and disturbance would be greater than could reasonably be expected if the property were occupied by a family and thus the proposal is considered to have an unacceptable and undue impact on existing residential amenity in terms of noise and disturbance and would also harm the character of the area.</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2.17 The HMO Management Plan submitted with the appeal application is considered to be wholly inadequate.</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Private amenity space</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2.18 The Appellant suggests that ‘the current external amenity space is sufficient for a 6-bedroom HMO under the permitted development rights available to the property at the time of implementation and therefore it cannot be reasonably assumed that an additional 2 occupants require more than double the external space of that for 6 persons’.</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2.19 The Appellant has not however acknowledged that the Certificate of lawfulness that approved a C4 HMO use at the appeal site was determined against the criteria of Class L of the GPDO which does not require an assessment to be made on the quantum of amenity space. The current proposal does require planning permission and therefore the quantum of amenity space proposed is an important planning issue as it relates to the quality of accommodation provided to future occupants.</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2.20 It is agreed that Policy DMHB 18 of the Local Plan Part 2 does not provide any guidance for HMOs. The guidance in the policy does however provide minimum standards for residential developments. For example, the policy requires at least 20sq.m for a 1bedroom studio flat or 100sq.m for a 4bedroom dwelling. Given the appeal proposal is proposed to have 7bedrooms and 8 occupants, the quantum of amenity space should probably be higher than 100sq.m. An overall provision of 47sq.m as a private amenity space for 8 occupants is wholly inadequate.</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Car parking and highway safety</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 xml:space="preserve">2.21 The Appellant states ‘the current use of the property as a 6-person C4 HMO proves the current situation is occupying a requirement of 3 spaces according to the Borough’s Local plan appendix C requirements of 1 parking space per 2 occupants. </w:t>
      </w:r>
      <w:proofErr w:type="gramStart"/>
      <w:r w:rsidRPr="00D05750">
        <w:rPr>
          <w:rFonts w:ascii="Arial" w:eastAsia="Times New Roman" w:hAnsi="Arial" w:cs="Arial"/>
          <w:b/>
          <w:bCs/>
          <w:color w:val="505A5F"/>
          <w:kern w:val="0"/>
          <w:sz w:val="22"/>
          <w:szCs w:val="22"/>
          <w:shd w:val="clear" w:color="auto" w:fill="FFFFFF"/>
          <w:lang w:eastAsia="en-GB"/>
          <w14:ligatures w14:val="none"/>
        </w:rPr>
        <w:t>Therefore</w:t>
      </w:r>
      <w:proofErr w:type="gramEnd"/>
      <w:r w:rsidRPr="00D05750">
        <w:rPr>
          <w:rFonts w:ascii="Arial" w:eastAsia="Times New Roman" w:hAnsi="Arial" w:cs="Arial"/>
          <w:b/>
          <w:bCs/>
          <w:color w:val="505A5F"/>
          <w:kern w:val="0"/>
          <w:sz w:val="22"/>
          <w:szCs w:val="22"/>
          <w:shd w:val="clear" w:color="auto" w:fill="FFFFFF"/>
          <w:lang w:eastAsia="en-GB"/>
          <w14:ligatures w14:val="none"/>
        </w:rPr>
        <w:t xml:space="preserve"> it can be assumed that the increase of 2 persons would only generate, at a maximum of 1 additional parking space’. The Appellant quotes the adopted parking standards at Appendix C of the Local Plan which for HMOs requires 1 parking space per 2 occupants.</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2.22 The Appellant has however failed to acknowledge that the front drive could not physically accommodate 4 cars. Even with a parking layout showing 2 cars, the Highway Authority have raised concerns regarding highway safety. The LPAs position on these matters is covered in the delegated report.</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lastRenderedPageBreak/>
        <w:t>2.23 The Appellant has suggested that an alternative layout that improves the usability of the front forecourt could be submitted to alleviate concerns. Other than unsubstantiated statements within their Statement of case, no information has been submitted by the Appellant to demonstrate that the parking provision can be achieved within the site in a safe manner. The matter is not considered to be an issue that can be addressed by condition.</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2.24 The site has a PTAL rating of 2 which points to a poor level of public transport opportunities and heavy reliance upon the private car. The appellant acknowledges the shortfall off street parking spaces. Willow Tree Lane lacks capacity for on-street parking. The appeal proposal would therefore result in car parking on the highway which would adversely affect the free flow of traffic and cause obstruction which would be detrimental to highway safety. It is considered that the Appellant has failed to address the reason for refusal.</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Accessible cycle parking provision</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2.25 The Appellant has suggested a condition to secure the required cycle parking spaces which is noted. However, it has not been demonstrated that this could be achieved without further reducing the already inadequate quantum of private amenity space or the available space in the front drive for off-street parking. No solution has been put forward by the appellant to address the accessibility concerns raised regarding the location of any cycle parking. It is not agreed that the reason for refusal has been suitably addressed.</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3. Conclusion</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3.1 For the reasons set out in the delegated report and this statement, the appeal proposal would result in the loss of a family sized dwelling, would harm the amenities and character of the area, would fail to provide adequate living conditions, and fail to provide an appropriate provision of safe car parking and accessible cycle parking.</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3.2 To conclude, the Appeal scheme conflicts with national, regional and local planning policies and guidance.</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3.3 The Inspector is therefore respectfully requested to dismiss the appeal.</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3.4 In the event that the Inspector considers the appeal should be allowed, and without prejudice to the Council’s case, a list of recommended planning conditions is included at Appendix 1.</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Appendices</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Appendix 1 – The LPA’s Recommended Conditions (please see below)</w:t>
      </w:r>
      <w:r w:rsidRPr="00D05750">
        <w:rPr>
          <w:rFonts w:ascii="Arial" w:eastAsia="Times New Roman" w:hAnsi="Arial" w:cs="Arial"/>
          <w:b/>
          <w:bCs/>
          <w:color w:val="505A5F"/>
          <w:kern w:val="0"/>
          <w:sz w:val="22"/>
          <w:szCs w:val="22"/>
          <w:shd w:val="clear" w:color="auto" w:fill="FFFFFF"/>
          <w:lang w:eastAsia="en-GB"/>
          <w14:ligatures w14:val="none"/>
        </w:rPr>
        <w:br/>
        <w:t>Appendix 2 – Email submitted by the Appellant to the LPA on 1 November 2025 (please see attached)</w:t>
      </w:r>
      <w:r w:rsidRPr="00D05750">
        <w:rPr>
          <w:rFonts w:ascii="Arial" w:eastAsia="Times New Roman" w:hAnsi="Arial" w:cs="Arial"/>
          <w:b/>
          <w:bCs/>
          <w:color w:val="505A5F"/>
          <w:kern w:val="0"/>
          <w:sz w:val="22"/>
          <w:szCs w:val="22"/>
          <w:shd w:val="clear" w:color="auto" w:fill="FFFFFF"/>
          <w:lang w:eastAsia="en-GB"/>
          <w14:ligatures w14:val="none"/>
        </w:rPr>
        <w:br/>
        <w:t>Appendix 3 – Appeal Decision 5 Crossway, Hayes (please see attached)</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lastRenderedPageBreak/>
        <w:t>Appendix 4 – Appeal Decision 131 York Avenue (please see attached)</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Appendix 1 – The LPA’s Recommended Conditions</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For the reasons set out in this appeal statement, the decision notice and the case officers’ delegated report, the Inspector is respectfully requested to dismiss the appeal.</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In the event that the Inspector is minded to allow the appeal, the Council ask that the following conditions be considered for inclusion on any planning permission:</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1) The development hereby permitted shall be begun before the expiration of three years from the date of this permission.</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REASON</w:t>
      </w:r>
      <w:r w:rsidRPr="00D05750">
        <w:rPr>
          <w:rFonts w:ascii="Arial" w:eastAsia="Times New Roman" w:hAnsi="Arial" w:cs="Arial"/>
          <w:b/>
          <w:bCs/>
          <w:color w:val="505A5F"/>
          <w:kern w:val="0"/>
          <w:sz w:val="22"/>
          <w:szCs w:val="22"/>
          <w:shd w:val="clear" w:color="auto" w:fill="FFFFFF"/>
          <w:lang w:eastAsia="en-GB"/>
          <w14:ligatures w14:val="none"/>
        </w:rPr>
        <w:br/>
        <w:t>To comply with Section 91 of the Town and Country Planning Act 1990.</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2) The development hereby permitted shall not be carried out except in complete accordance with the details shown on the submitted plans, drawing numbers:</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 HD00257 - PL01</w:t>
      </w:r>
      <w:r w:rsidRPr="00D05750">
        <w:rPr>
          <w:rFonts w:ascii="Arial" w:eastAsia="Times New Roman" w:hAnsi="Arial" w:cs="Arial"/>
          <w:b/>
          <w:bCs/>
          <w:color w:val="505A5F"/>
          <w:kern w:val="0"/>
          <w:sz w:val="22"/>
          <w:szCs w:val="22"/>
          <w:shd w:val="clear" w:color="auto" w:fill="FFFFFF"/>
          <w:lang w:eastAsia="en-GB"/>
          <w14:ligatures w14:val="none"/>
        </w:rPr>
        <w:br/>
        <w:t>- HD00257 - PL02</w:t>
      </w:r>
      <w:r w:rsidRPr="00D05750">
        <w:rPr>
          <w:rFonts w:ascii="Arial" w:eastAsia="Times New Roman" w:hAnsi="Arial" w:cs="Arial"/>
          <w:b/>
          <w:bCs/>
          <w:color w:val="505A5F"/>
          <w:kern w:val="0"/>
          <w:sz w:val="22"/>
          <w:szCs w:val="22"/>
          <w:shd w:val="clear" w:color="auto" w:fill="FFFFFF"/>
          <w:lang w:eastAsia="en-GB"/>
          <w14:ligatures w14:val="none"/>
        </w:rPr>
        <w:br/>
        <w:t>- HD00257 - PL04</w:t>
      </w:r>
      <w:r w:rsidRPr="00D05750">
        <w:rPr>
          <w:rFonts w:ascii="Arial" w:eastAsia="Times New Roman" w:hAnsi="Arial" w:cs="Arial"/>
          <w:b/>
          <w:bCs/>
          <w:color w:val="505A5F"/>
          <w:kern w:val="0"/>
          <w:sz w:val="22"/>
          <w:szCs w:val="22"/>
          <w:shd w:val="clear" w:color="auto" w:fill="FFFFFF"/>
          <w:lang w:eastAsia="en-GB"/>
          <w14:ligatures w14:val="none"/>
        </w:rPr>
        <w:br/>
        <w:t>- HD00257 - PL05</w:t>
      </w:r>
      <w:r w:rsidRPr="00D05750">
        <w:rPr>
          <w:rFonts w:ascii="Arial" w:eastAsia="Times New Roman" w:hAnsi="Arial" w:cs="Arial"/>
          <w:b/>
          <w:bCs/>
          <w:color w:val="505A5F"/>
          <w:kern w:val="0"/>
          <w:sz w:val="22"/>
          <w:szCs w:val="22"/>
          <w:shd w:val="clear" w:color="auto" w:fill="FFFFFF"/>
          <w:lang w:eastAsia="en-GB"/>
          <w14:ligatures w14:val="none"/>
        </w:rPr>
        <w:br/>
        <w:t>- HD00257 - PL06</w:t>
      </w:r>
      <w:r w:rsidRPr="00D05750">
        <w:rPr>
          <w:rFonts w:ascii="Arial" w:eastAsia="Times New Roman" w:hAnsi="Arial" w:cs="Arial"/>
          <w:b/>
          <w:bCs/>
          <w:color w:val="505A5F"/>
          <w:kern w:val="0"/>
          <w:sz w:val="22"/>
          <w:szCs w:val="22"/>
          <w:shd w:val="clear" w:color="auto" w:fill="FFFFFF"/>
          <w:lang w:eastAsia="en-GB"/>
          <w14:ligatures w14:val="none"/>
        </w:rPr>
        <w:br/>
        <w:t>- HD00257 - PL07</w:t>
      </w:r>
      <w:r w:rsidRPr="00D05750">
        <w:rPr>
          <w:rFonts w:ascii="Arial" w:eastAsia="Times New Roman" w:hAnsi="Arial" w:cs="Arial"/>
          <w:b/>
          <w:bCs/>
          <w:color w:val="505A5F"/>
          <w:kern w:val="0"/>
          <w:sz w:val="22"/>
          <w:szCs w:val="22"/>
          <w:shd w:val="clear" w:color="auto" w:fill="FFFFFF"/>
          <w:lang w:eastAsia="en-GB"/>
          <w14:ligatures w14:val="none"/>
        </w:rPr>
        <w:br/>
        <w:t>- HD00257 - PL08</w:t>
      </w:r>
      <w:r w:rsidRPr="00D05750">
        <w:rPr>
          <w:rFonts w:ascii="Arial" w:eastAsia="Times New Roman" w:hAnsi="Arial" w:cs="Arial"/>
          <w:b/>
          <w:bCs/>
          <w:color w:val="505A5F"/>
          <w:kern w:val="0"/>
          <w:sz w:val="22"/>
          <w:szCs w:val="22"/>
          <w:shd w:val="clear" w:color="auto" w:fill="FFFFFF"/>
          <w:lang w:eastAsia="en-GB"/>
          <w14:ligatures w14:val="none"/>
        </w:rPr>
        <w:br/>
        <w:t>- HD00257 - PL09</w:t>
      </w:r>
      <w:r w:rsidRPr="00D05750">
        <w:rPr>
          <w:rFonts w:ascii="Arial" w:eastAsia="Times New Roman" w:hAnsi="Arial" w:cs="Arial"/>
          <w:b/>
          <w:bCs/>
          <w:color w:val="505A5F"/>
          <w:kern w:val="0"/>
          <w:sz w:val="22"/>
          <w:szCs w:val="22"/>
          <w:shd w:val="clear" w:color="auto" w:fill="FFFFFF"/>
          <w:lang w:eastAsia="en-GB"/>
          <w14:ligatures w14:val="none"/>
        </w:rPr>
        <w:br/>
        <w:t>- Design and Access Statement</w:t>
      </w:r>
      <w:r w:rsidRPr="00D05750">
        <w:rPr>
          <w:rFonts w:ascii="Arial" w:eastAsia="Times New Roman" w:hAnsi="Arial" w:cs="Arial"/>
          <w:b/>
          <w:bCs/>
          <w:color w:val="505A5F"/>
          <w:kern w:val="0"/>
          <w:sz w:val="22"/>
          <w:szCs w:val="22"/>
          <w:shd w:val="clear" w:color="auto" w:fill="FFFFFF"/>
          <w:lang w:eastAsia="en-GB"/>
          <w14:ligatures w14:val="none"/>
        </w:rPr>
        <w:br/>
        <w:t>- Noise Impact Assessment, 28th October 2025, Dice Environmental Acoustics</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and shall thereafter be retained/maintained for as long as the development remains in existence.</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REASON</w:t>
      </w:r>
      <w:r w:rsidRPr="00D05750">
        <w:rPr>
          <w:rFonts w:ascii="Arial" w:eastAsia="Times New Roman" w:hAnsi="Arial" w:cs="Arial"/>
          <w:b/>
          <w:bCs/>
          <w:color w:val="505A5F"/>
          <w:kern w:val="0"/>
          <w:sz w:val="22"/>
          <w:szCs w:val="22"/>
          <w:shd w:val="clear" w:color="auto" w:fill="FFFFFF"/>
          <w:lang w:eastAsia="en-GB"/>
          <w14:ligatures w14:val="none"/>
        </w:rPr>
        <w:br/>
        <w:t>To ensure the development complies with the provisions of the Hillingdon Local Plan Part 1 (2012) and Part 2 (2020), and the London Plan (2021).</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3) The development hereby permitted shall not be occupied until details of an enclosed refuse storage area have been submitted to and approved in writing by the Local Planning Authority. Thereafter, the development shall not be occupied or brought into use until the approved storage area has been implemented in accordance with the approved plan, with the permanently retained for storage of bins.</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REASON</w:t>
      </w:r>
      <w:r w:rsidRPr="00D05750">
        <w:rPr>
          <w:rFonts w:ascii="Arial" w:eastAsia="Times New Roman" w:hAnsi="Arial" w:cs="Arial"/>
          <w:b/>
          <w:bCs/>
          <w:color w:val="505A5F"/>
          <w:kern w:val="0"/>
          <w:sz w:val="22"/>
          <w:szCs w:val="22"/>
          <w:shd w:val="clear" w:color="auto" w:fill="FFFFFF"/>
          <w:lang w:eastAsia="en-GB"/>
          <w14:ligatures w14:val="none"/>
        </w:rPr>
        <w:br/>
        <w:t>To safeguard the amenity of surrounding areas in accordance with Policy DMHB 11 of the Hillingdon Local Plan Part 2 (2020).</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lastRenderedPageBreak/>
        <w:br/>
        <w:t>4) The development hereby permitted shall not be occupied until details of accessible covered and secure cycle storage for 8no bicycles have been submitted to and approved in writing by the Local Planning Authority. Thereafter, the development shall not be occupied or brought into use until the approved cycling facilities have been implemented in accordance with the approved plan, with the facilities being permanently retained for use by occupiers.</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REASON</w:t>
      </w:r>
      <w:r w:rsidRPr="00D05750">
        <w:rPr>
          <w:rFonts w:ascii="Arial" w:eastAsia="Times New Roman" w:hAnsi="Arial" w:cs="Arial"/>
          <w:b/>
          <w:bCs/>
          <w:color w:val="505A5F"/>
          <w:kern w:val="0"/>
          <w:sz w:val="22"/>
          <w:szCs w:val="22"/>
          <w:shd w:val="clear" w:color="auto" w:fill="FFFFFF"/>
          <w:lang w:eastAsia="en-GB"/>
          <w14:ligatures w14:val="none"/>
        </w:rPr>
        <w:br/>
        <w:t>To ensure the provision and retention of facilities for cyclists to the development and hence the availability of sustainable forms of transport to the site in accordance with Policy DMT 5 of the Hillingdon Local Plan Part 2 (2020).</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5) The development hereby permitted shall not be occupied until a detailed car park layout has been submitted to and approved in writing by the Local Planning Authority. Thereafter, the development shall not be occupied or brought into use until the approved car parking spaces have been implemented in accordance with the approved plan, with the facilities being permanently retained for use by occupiers.</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REASON</w:t>
      </w:r>
      <w:r w:rsidRPr="00D05750">
        <w:rPr>
          <w:rFonts w:ascii="Arial" w:eastAsia="Times New Roman" w:hAnsi="Arial" w:cs="Arial"/>
          <w:b/>
          <w:bCs/>
          <w:color w:val="505A5F"/>
          <w:kern w:val="0"/>
          <w:sz w:val="22"/>
          <w:szCs w:val="22"/>
          <w:shd w:val="clear" w:color="auto" w:fill="FFFFFF"/>
          <w:lang w:eastAsia="en-GB"/>
          <w14:ligatures w14:val="none"/>
        </w:rPr>
        <w:br/>
        <w:t>In the interests of highway safety in accordance with Policies DMT 1, DMT 2 and DMT 6 of the Hillingdon Local Plan Part 2 (2020).</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6) The development hereby permitted shall not be occupied until a comprehensive HMO Management Plan has been submitted to and approved in writing by the Local Planning Authority. Thereafter, the development shall be carried out in accordance with the approved plan.</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REASON</w:t>
      </w:r>
      <w:r w:rsidRPr="00D05750">
        <w:rPr>
          <w:rFonts w:ascii="Arial" w:eastAsia="Times New Roman" w:hAnsi="Arial" w:cs="Arial"/>
          <w:b/>
          <w:bCs/>
          <w:color w:val="505A5F"/>
          <w:kern w:val="0"/>
          <w:sz w:val="22"/>
          <w:szCs w:val="22"/>
          <w:shd w:val="clear" w:color="auto" w:fill="FFFFFF"/>
          <w:lang w:eastAsia="en-GB"/>
          <w14:ligatures w14:val="none"/>
        </w:rPr>
        <w:br/>
        <w:t>To safeguard the amenity of surrounding areas in accordance with Policy DMHB 11 of the Hillingdon Local Plan Part 2 (2020).</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7) The property shall only be used as a house in multiple occupation for no more than eight (8) individuals at any one time.</w:t>
      </w:r>
      <w:r w:rsidRPr="00D05750">
        <w:rPr>
          <w:rFonts w:ascii="Arial" w:eastAsia="Times New Roman" w:hAnsi="Arial" w:cs="Arial"/>
          <w:b/>
          <w:bCs/>
          <w:color w:val="505A5F"/>
          <w:kern w:val="0"/>
          <w:sz w:val="22"/>
          <w:szCs w:val="22"/>
          <w:shd w:val="clear" w:color="auto" w:fill="FFFFFF"/>
          <w:lang w:eastAsia="en-GB"/>
          <w14:ligatures w14:val="none"/>
        </w:rPr>
        <w:br/>
      </w:r>
      <w:r w:rsidRPr="00D05750">
        <w:rPr>
          <w:rFonts w:ascii="Arial" w:eastAsia="Times New Roman" w:hAnsi="Arial" w:cs="Arial"/>
          <w:b/>
          <w:bCs/>
          <w:color w:val="505A5F"/>
          <w:kern w:val="0"/>
          <w:sz w:val="22"/>
          <w:szCs w:val="22"/>
          <w:shd w:val="clear" w:color="auto" w:fill="FFFFFF"/>
          <w:lang w:eastAsia="en-GB"/>
          <w14:ligatures w14:val="none"/>
        </w:rPr>
        <w:br/>
        <w:t>REASON</w:t>
      </w:r>
      <w:r w:rsidRPr="00D05750">
        <w:rPr>
          <w:rFonts w:ascii="Arial" w:eastAsia="Times New Roman" w:hAnsi="Arial" w:cs="Arial"/>
          <w:b/>
          <w:bCs/>
          <w:color w:val="505A5F"/>
          <w:kern w:val="0"/>
          <w:sz w:val="22"/>
          <w:szCs w:val="22"/>
          <w:shd w:val="clear" w:color="auto" w:fill="FFFFFF"/>
          <w:lang w:eastAsia="en-GB"/>
          <w14:ligatures w14:val="none"/>
        </w:rPr>
        <w:br/>
        <w:t>To ensure that the amenity of the occupiers of the adjoining property is not adversely affected in accordance with Policies DMH 5 and DMHB 11 of the Hillingdon Local Plan - Part 2 (2020). </w:t>
      </w:r>
      <w:r w:rsidRPr="00D05750">
        <w:rPr>
          <w:rFonts w:ascii="Arial" w:eastAsia="Times New Roman" w:hAnsi="Arial" w:cs="Arial"/>
          <w:b/>
          <w:bCs/>
          <w:color w:val="505A5F"/>
          <w:kern w:val="0"/>
          <w:sz w:val="22"/>
          <w:szCs w:val="22"/>
          <w:shd w:val="clear" w:color="auto" w:fill="FFFFFF"/>
          <w:lang w:eastAsia="en-GB"/>
          <w14:ligatures w14:val="none"/>
        </w:rPr>
        <w:t xml:space="preserve"> </w:t>
      </w:r>
    </w:p>
    <w:p w14:paraId="7AE04162" w14:textId="77777777" w:rsidR="00D05750" w:rsidRPr="00D05750" w:rsidRDefault="00D05750" w:rsidP="00D05750">
      <w:pPr>
        <w:rPr>
          <w:rFonts w:ascii="Arial" w:eastAsia="Times New Roman" w:hAnsi="Arial" w:cs="Arial"/>
          <w:b/>
          <w:bCs/>
          <w:color w:val="505A5F"/>
          <w:kern w:val="0"/>
          <w:sz w:val="22"/>
          <w:szCs w:val="22"/>
          <w:shd w:val="clear" w:color="auto" w:fill="FFFFFF"/>
          <w:lang w:eastAsia="en-GB"/>
          <w14:ligatures w14:val="none"/>
        </w:rPr>
      </w:pPr>
      <w:r w:rsidRPr="00D05750">
        <w:rPr>
          <w:rFonts w:ascii="Arial" w:eastAsia="Times New Roman" w:hAnsi="Arial" w:cs="Arial"/>
          <w:b/>
          <w:bCs/>
          <w:color w:val="505A5F"/>
          <w:kern w:val="0"/>
          <w:sz w:val="22"/>
          <w:szCs w:val="22"/>
          <w:shd w:val="clear" w:color="auto" w:fill="FFFFFF"/>
          <w:lang w:eastAsia="en-GB"/>
          <w14:ligatures w14:val="none"/>
        </w:rPr>
        <w:t>Supporting documents</w:t>
      </w:r>
    </w:p>
    <w:p w14:paraId="0839380D" w14:textId="77777777" w:rsidR="00D05750" w:rsidRPr="00D05750" w:rsidRDefault="00D05750" w:rsidP="00D05750">
      <w:pPr>
        <w:rPr>
          <w:rFonts w:ascii="Arial" w:eastAsia="Times New Roman" w:hAnsi="Arial" w:cs="Arial"/>
          <w:b/>
          <w:bCs/>
          <w:color w:val="505A5F"/>
          <w:kern w:val="0"/>
          <w:sz w:val="22"/>
          <w:szCs w:val="22"/>
          <w:shd w:val="clear" w:color="auto" w:fill="FFFFFF"/>
          <w:lang w:eastAsia="en-GB"/>
          <w14:ligatures w14:val="none"/>
        </w:rPr>
      </w:pPr>
      <w:hyperlink r:id="rId4" w:history="1">
        <w:r w:rsidRPr="00D05750">
          <w:rPr>
            <w:rStyle w:val="Hyperlink"/>
            <w:rFonts w:ascii="Arial" w:eastAsia="Times New Roman" w:hAnsi="Arial" w:cs="Arial"/>
            <w:b/>
            <w:bCs/>
            <w:kern w:val="0"/>
            <w:sz w:val="22"/>
            <w:szCs w:val="22"/>
            <w:shd w:val="clear" w:color="auto" w:fill="FFFFFF"/>
            <w:lang w:eastAsia="en-GB"/>
            <w14:ligatures w14:val="none"/>
          </w:rPr>
          <w:t>Appendix 3 Appeal decision -131 York Avenue, Hayes.pdf</w:t>
        </w:r>
      </w:hyperlink>
      <w:r w:rsidRPr="00D05750">
        <w:rPr>
          <w:rFonts w:ascii="Arial" w:eastAsia="Times New Roman" w:hAnsi="Arial" w:cs="Arial"/>
          <w:b/>
          <w:bCs/>
          <w:color w:val="505A5F"/>
          <w:kern w:val="0"/>
          <w:sz w:val="22"/>
          <w:szCs w:val="22"/>
          <w:shd w:val="clear" w:color="auto" w:fill="FFFFFF"/>
          <w:lang w:eastAsia="en-GB"/>
          <w14:ligatures w14:val="none"/>
        </w:rPr>
        <w:br/>
      </w:r>
      <w:hyperlink r:id="rId5" w:history="1">
        <w:r w:rsidRPr="00D05750">
          <w:rPr>
            <w:rStyle w:val="Hyperlink"/>
            <w:rFonts w:ascii="Arial" w:eastAsia="Times New Roman" w:hAnsi="Arial" w:cs="Arial"/>
            <w:b/>
            <w:bCs/>
            <w:kern w:val="0"/>
            <w:sz w:val="22"/>
            <w:szCs w:val="22"/>
            <w:shd w:val="clear" w:color="auto" w:fill="FFFFFF"/>
            <w:lang w:eastAsia="en-GB"/>
            <w14:ligatures w14:val="none"/>
          </w:rPr>
          <w:t>Appendix 2 Email from Applicant to LPA.pdf</w:t>
        </w:r>
      </w:hyperlink>
      <w:r w:rsidRPr="00D05750">
        <w:rPr>
          <w:rFonts w:ascii="Arial" w:eastAsia="Times New Roman" w:hAnsi="Arial" w:cs="Arial"/>
          <w:b/>
          <w:bCs/>
          <w:color w:val="505A5F"/>
          <w:kern w:val="0"/>
          <w:sz w:val="22"/>
          <w:szCs w:val="22"/>
          <w:shd w:val="clear" w:color="auto" w:fill="FFFFFF"/>
          <w:lang w:eastAsia="en-GB"/>
          <w14:ligatures w14:val="none"/>
        </w:rPr>
        <w:br/>
      </w:r>
      <w:hyperlink r:id="rId6" w:history="1">
        <w:r w:rsidRPr="00D05750">
          <w:rPr>
            <w:rStyle w:val="Hyperlink"/>
            <w:rFonts w:ascii="Arial" w:eastAsia="Times New Roman" w:hAnsi="Arial" w:cs="Arial"/>
            <w:b/>
            <w:bCs/>
            <w:kern w:val="0"/>
            <w:sz w:val="22"/>
            <w:szCs w:val="22"/>
            <w:shd w:val="clear" w:color="auto" w:fill="FFFFFF"/>
            <w:lang w:eastAsia="en-GB"/>
            <w14:ligatures w14:val="none"/>
          </w:rPr>
          <w:t>Appendix 4 Appeal decision -5 Crossway, Hayes.pdf</w:t>
        </w:r>
      </w:hyperlink>
    </w:p>
    <w:p w14:paraId="43EFD12B" w14:textId="57A4EA1F" w:rsidR="00D249CB" w:rsidRPr="00D05750" w:rsidRDefault="00D249CB" w:rsidP="00D05750"/>
    <w:sectPr w:rsidR="00D249CB" w:rsidRPr="00D057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444"/>
    <w:rsid w:val="00011991"/>
    <w:rsid w:val="00080CB8"/>
    <w:rsid w:val="00091FB3"/>
    <w:rsid w:val="00133337"/>
    <w:rsid w:val="00356319"/>
    <w:rsid w:val="00372444"/>
    <w:rsid w:val="003B1BC5"/>
    <w:rsid w:val="005F5260"/>
    <w:rsid w:val="00633073"/>
    <w:rsid w:val="006D184F"/>
    <w:rsid w:val="00982D54"/>
    <w:rsid w:val="00A25974"/>
    <w:rsid w:val="00D03B3F"/>
    <w:rsid w:val="00D05750"/>
    <w:rsid w:val="00D249CB"/>
    <w:rsid w:val="00D403BB"/>
    <w:rsid w:val="00F72438"/>
    <w:rsid w:val="00FE12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4963D7B"/>
  <w15:chartTrackingRefBased/>
  <w15:docId w15:val="{7D8F14BF-1FC4-4663-BE8D-F8DACC205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24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24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24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24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24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24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24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24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24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24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24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24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24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24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24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24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24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2444"/>
    <w:rPr>
      <w:rFonts w:eastAsiaTheme="majorEastAsia" w:cstheme="majorBidi"/>
      <w:color w:val="272727" w:themeColor="text1" w:themeTint="D8"/>
    </w:rPr>
  </w:style>
  <w:style w:type="paragraph" w:styleId="Title">
    <w:name w:val="Title"/>
    <w:basedOn w:val="Normal"/>
    <w:next w:val="Normal"/>
    <w:link w:val="TitleChar"/>
    <w:uiPriority w:val="10"/>
    <w:qFormat/>
    <w:rsid w:val="003724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24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24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24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2444"/>
    <w:pPr>
      <w:spacing w:before="160"/>
      <w:jc w:val="center"/>
    </w:pPr>
    <w:rPr>
      <w:i/>
      <w:iCs/>
      <w:color w:val="404040" w:themeColor="text1" w:themeTint="BF"/>
    </w:rPr>
  </w:style>
  <w:style w:type="character" w:customStyle="1" w:styleId="QuoteChar">
    <w:name w:val="Quote Char"/>
    <w:basedOn w:val="DefaultParagraphFont"/>
    <w:link w:val="Quote"/>
    <w:uiPriority w:val="29"/>
    <w:rsid w:val="00372444"/>
    <w:rPr>
      <w:i/>
      <w:iCs/>
      <w:color w:val="404040" w:themeColor="text1" w:themeTint="BF"/>
    </w:rPr>
  </w:style>
  <w:style w:type="paragraph" w:styleId="ListParagraph">
    <w:name w:val="List Paragraph"/>
    <w:basedOn w:val="Normal"/>
    <w:uiPriority w:val="34"/>
    <w:qFormat/>
    <w:rsid w:val="00372444"/>
    <w:pPr>
      <w:ind w:left="720"/>
      <w:contextualSpacing/>
    </w:pPr>
  </w:style>
  <w:style w:type="character" w:styleId="IntenseEmphasis">
    <w:name w:val="Intense Emphasis"/>
    <w:basedOn w:val="DefaultParagraphFont"/>
    <w:uiPriority w:val="21"/>
    <w:qFormat/>
    <w:rsid w:val="00372444"/>
    <w:rPr>
      <w:i/>
      <w:iCs/>
      <w:color w:val="0F4761" w:themeColor="accent1" w:themeShade="BF"/>
    </w:rPr>
  </w:style>
  <w:style w:type="paragraph" w:styleId="IntenseQuote">
    <w:name w:val="Intense Quote"/>
    <w:basedOn w:val="Normal"/>
    <w:next w:val="Normal"/>
    <w:link w:val="IntenseQuoteChar"/>
    <w:uiPriority w:val="30"/>
    <w:qFormat/>
    <w:rsid w:val="003724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2444"/>
    <w:rPr>
      <w:i/>
      <w:iCs/>
      <w:color w:val="0F4761" w:themeColor="accent1" w:themeShade="BF"/>
    </w:rPr>
  </w:style>
  <w:style w:type="character" w:styleId="IntenseReference">
    <w:name w:val="Intense Reference"/>
    <w:basedOn w:val="DefaultParagraphFont"/>
    <w:uiPriority w:val="32"/>
    <w:qFormat/>
    <w:rsid w:val="00372444"/>
    <w:rPr>
      <w:b/>
      <w:bCs/>
      <w:smallCaps/>
      <w:color w:val="0F4761" w:themeColor="accent1" w:themeShade="BF"/>
      <w:spacing w:val="5"/>
    </w:rPr>
  </w:style>
  <w:style w:type="character" w:styleId="Hyperlink">
    <w:name w:val="Hyperlink"/>
    <w:basedOn w:val="DefaultParagraphFont"/>
    <w:uiPriority w:val="99"/>
    <w:unhideWhenUsed/>
    <w:rsid w:val="006D184F"/>
    <w:rPr>
      <w:color w:val="467886" w:themeColor="hyperlink"/>
      <w:u w:val="single"/>
    </w:rPr>
  </w:style>
  <w:style w:type="character" w:styleId="UnresolvedMention">
    <w:name w:val="Unresolved Mention"/>
    <w:basedOn w:val="DefaultParagraphFont"/>
    <w:uiPriority w:val="99"/>
    <w:semiHidden/>
    <w:unhideWhenUsed/>
    <w:rsid w:val="006D18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ppeal-planning-decision.service.gov.uk/published-document/e9d95647-7fbf-47b2-ab9c-c85458108e71" TargetMode="External"/><Relationship Id="rId5" Type="http://schemas.openxmlformats.org/officeDocument/2006/relationships/hyperlink" Target="https://appeal-planning-decision.service.gov.uk/published-document/1129b5bc-8aa4-4c6d-80ff-8cf76e3b56c2" TargetMode="External"/><Relationship Id="rId4" Type="http://schemas.openxmlformats.org/officeDocument/2006/relationships/hyperlink" Target="https://appeal-planning-decision.service.gov.uk/published-document/170f9cf1-e5c0-4c52-8e3f-6f85596b985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3206</Words>
  <Characters>16549</Characters>
  <Application>Microsoft Office Word</Application>
  <DocSecurity>0</DocSecurity>
  <Lines>376</Lines>
  <Paragraphs>21</Paragraphs>
  <ScaleCrop>false</ScaleCrop>
  <Company>LBH</Company>
  <LinksUpToDate>false</LinksUpToDate>
  <CharactersWithSpaces>19734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Allum</dc:creator>
  <cp:keywords/>
  <dc:description/>
  <cp:lastModifiedBy>John Allum</cp:lastModifiedBy>
  <cp:revision>2</cp:revision>
  <dcterms:created xsi:type="dcterms:W3CDTF">2026-04-08T14:11:00Z</dcterms:created>
  <dcterms:modified xsi:type="dcterms:W3CDTF">2026-04-08T14:11:00Z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8edf35-91ea-44e1-afab-38c462b39a0c_Enabled">
    <vt:lpwstr>true</vt:lpwstr>
  </property>
  <property fmtid="{D5CDD505-2E9C-101B-9397-08002B2CF9AE}" pid="3" name="MSIP_Label_7a8edf35-91ea-44e1-afab-38c462b39a0c_SetDate">
    <vt:lpwstr>2026-01-22T17:30:50Z</vt:lpwstr>
  </property>
  <property fmtid="{D5CDD505-2E9C-101B-9397-08002B2CF9AE}" pid="4" name="MSIP_Label_7a8edf35-91ea-44e1-afab-38c462b39a0c_Method">
    <vt:lpwstr>Standard</vt:lpwstr>
  </property>
  <property fmtid="{D5CDD505-2E9C-101B-9397-08002B2CF9AE}" pid="5" name="MSIP_Label_7a8edf35-91ea-44e1-afab-38c462b39a0c_Name">
    <vt:lpwstr>Official</vt:lpwstr>
  </property>
  <property fmtid="{D5CDD505-2E9C-101B-9397-08002B2CF9AE}" pid="6" name="MSIP_Label_7a8edf35-91ea-44e1-afab-38c462b39a0c_SiteId">
    <vt:lpwstr>aaacb679-c381-48fb-b320-f9d581ee948f</vt:lpwstr>
  </property>
  <property fmtid="{D5CDD505-2E9C-101B-9397-08002B2CF9AE}" pid="7" name="MSIP_Label_7a8edf35-91ea-44e1-afab-38c462b39a0c_ActionId">
    <vt:lpwstr>75260bfc-3816-4eca-8197-587309a5a57c</vt:lpwstr>
  </property>
  <property fmtid="{D5CDD505-2E9C-101B-9397-08002B2CF9AE}" pid="8" name="MSIP_Label_7a8edf35-91ea-44e1-afab-38c462b39a0c_ContentBits">
    <vt:lpwstr>0</vt:lpwstr>
  </property>
  <property fmtid="{D5CDD505-2E9C-101B-9397-08002B2CF9AE}" pid="9" name="MSIP_Label_7a8edf35-91ea-44e1-afab-38c462b39a0c_Tag">
    <vt:lpwstr>10, 3, 0, 1</vt:lpwstr>
  </property>
</Properties>
</file>